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5B4" w:rsidRPr="00214E8E" w:rsidRDefault="005B01B6" w:rsidP="002B5EBF">
      <w:pPr>
        <w:spacing w:line="480" w:lineRule="auto"/>
        <w:rPr>
          <w:rFonts w:asciiTheme="majorHAnsi" w:eastAsia="Times New Roman" w:hAnsiTheme="majorHAnsi"/>
          <w:b/>
        </w:rPr>
      </w:pPr>
      <w:r w:rsidRPr="00214E8E">
        <w:rPr>
          <w:rFonts w:asciiTheme="majorHAnsi" w:eastAsia="Times New Roman" w:hAnsiTheme="majorHAnsi"/>
          <w:b/>
        </w:rPr>
        <w:t>‘</w:t>
      </w:r>
      <w:r w:rsidR="009425B4" w:rsidRPr="00214E8E">
        <w:rPr>
          <w:rFonts w:asciiTheme="majorHAnsi" w:eastAsia="Times New Roman" w:hAnsiTheme="majorHAnsi"/>
          <w:b/>
        </w:rPr>
        <w:t>Delius</w:t>
      </w:r>
      <w:r w:rsidR="00C01333" w:rsidRPr="00214E8E">
        <w:rPr>
          <w:rFonts w:asciiTheme="majorHAnsi" w:eastAsia="Times New Roman" w:hAnsiTheme="majorHAnsi"/>
          <w:b/>
        </w:rPr>
        <w:t>, whoever he may be</w:t>
      </w:r>
      <w:r w:rsidRPr="00214E8E">
        <w:rPr>
          <w:rFonts w:asciiTheme="majorHAnsi" w:eastAsia="Times New Roman" w:hAnsiTheme="majorHAnsi"/>
          <w:b/>
        </w:rPr>
        <w:t>’</w:t>
      </w:r>
    </w:p>
    <w:p w:rsidR="00FE2E04" w:rsidRPr="00214E8E" w:rsidRDefault="00FE2E04" w:rsidP="002B5EBF">
      <w:pPr>
        <w:spacing w:line="480" w:lineRule="auto"/>
        <w:rPr>
          <w:rFonts w:asciiTheme="majorHAnsi" w:eastAsia="Times New Roman" w:hAnsiTheme="majorHAnsi"/>
          <w:b/>
        </w:rPr>
      </w:pPr>
      <w:r w:rsidRPr="00214E8E">
        <w:rPr>
          <w:rFonts w:asciiTheme="majorHAnsi" w:eastAsia="Times New Roman" w:hAnsiTheme="majorHAnsi"/>
          <w:b/>
        </w:rPr>
        <w:t>Anthony Gritten</w:t>
      </w:r>
    </w:p>
    <w:p w:rsidR="00FE2E04" w:rsidRPr="00214E8E" w:rsidRDefault="00FE2E04" w:rsidP="002B5EBF">
      <w:pPr>
        <w:spacing w:line="480" w:lineRule="auto"/>
        <w:rPr>
          <w:rFonts w:asciiTheme="majorHAnsi" w:eastAsia="Times New Roman" w:hAnsiTheme="majorHAnsi"/>
        </w:rPr>
      </w:pPr>
    </w:p>
    <w:p w:rsidR="0075359C" w:rsidRPr="00214E8E" w:rsidRDefault="00B84170" w:rsidP="002B5EBF">
      <w:pPr>
        <w:spacing w:line="480" w:lineRule="auto"/>
        <w:rPr>
          <w:rFonts w:asciiTheme="majorHAnsi" w:eastAsia="Times New Roman" w:hAnsiTheme="majorHAnsi"/>
        </w:rPr>
      </w:pPr>
      <w:r w:rsidRPr="00214E8E">
        <w:rPr>
          <w:rFonts w:asciiTheme="majorHAnsi" w:eastAsia="Times New Roman" w:hAnsiTheme="majorHAnsi"/>
        </w:rPr>
        <w:t>1</w:t>
      </w:r>
    </w:p>
    <w:p w:rsidR="0044419E" w:rsidRPr="00214E8E" w:rsidRDefault="003D2F47" w:rsidP="002B5EBF">
      <w:pPr>
        <w:spacing w:line="480" w:lineRule="auto"/>
        <w:rPr>
          <w:rFonts w:asciiTheme="majorHAnsi" w:eastAsia="Times New Roman" w:hAnsiTheme="majorHAnsi"/>
        </w:rPr>
      </w:pPr>
      <w:r w:rsidRPr="00214E8E">
        <w:rPr>
          <w:rFonts w:asciiTheme="majorHAnsi" w:eastAsia="Times New Roman" w:hAnsiTheme="majorHAnsi"/>
        </w:rPr>
        <w:t>The phra</w:t>
      </w:r>
      <w:r w:rsidR="005D115B" w:rsidRPr="00214E8E">
        <w:rPr>
          <w:rFonts w:asciiTheme="majorHAnsi" w:eastAsia="Times New Roman" w:hAnsiTheme="majorHAnsi"/>
        </w:rPr>
        <w:t xml:space="preserve">se constituting my title comes </w:t>
      </w:r>
      <w:r w:rsidRPr="00214E8E">
        <w:rPr>
          <w:rFonts w:asciiTheme="majorHAnsi" w:eastAsia="Times New Roman" w:hAnsiTheme="majorHAnsi"/>
        </w:rPr>
        <w:t>from</w:t>
      </w:r>
      <w:r w:rsidR="00B21E3D" w:rsidRPr="00214E8E">
        <w:rPr>
          <w:rFonts w:asciiTheme="majorHAnsi" w:eastAsia="Times New Roman" w:hAnsiTheme="majorHAnsi"/>
        </w:rPr>
        <w:t xml:space="preserve"> an anonymous writer in</w:t>
      </w:r>
      <w:r w:rsidRPr="00214E8E">
        <w:rPr>
          <w:rFonts w:asciiTheme="majorHAnsi" w:eastAsia="Times New Roman" w:hAnsiTheme="majorHAnsi"/>
        </w:rPr>
        <w:t xml:space="preserve"> </w:t>
      </w:r>
      <w:r w:rsidRPr="00214E8E">
        <w:rPr>
          <w:rFonts w:asciiTheme="majorHAnsi" w:eastAsia="Times New Roman" w:hAnsiTheme="majorHAnsi"/>
          <w:i/>
        </w:rPr>
        <w:t>The Musical Times</w:t>
      </w:r>
      <w:r w:rsidRPr="00214E8E">
        <w:rPr>
          <w:rFonts w:asciiTheme="majorHAnsi" w:eastAsia="Times New Roman" w:hAnsiTheme="majorHAnsi"/>
        </w:rPr>
        <w:t>. A concert of British music held in Monte Carlo on 25 February 1894 received a short review</w:t>
      </w:r>
      <w:r w:rsidR="005D115B" w:rsidRPr="00214E8E">
        <w:rPr>
          <w:rFonts w:asciiTheme="majorHAnsi" w:eastAsia="Times New Roman" w:hAnsiTheme="majorHAnsi"/>
        </w:rPr>
        <w:t xml:space="preserve"> in the </w:t>
      </w:r>
      <w:r w:rsidR="005B01B6" w:rsidRPr="00214E8E">
        <w:rPr>
          <w:rFonts w:asciiTheme="majorHAnsi" w:eastAsia="Times New Roman" w:hAnsiTheme="majorHAnsi"/>
        </w:rPr>
        <w:t>‘</w:t>
      </w:r>
      <w:r w:rsidR="005D115B" w:rsidRPr="00214E8E">
        <w:rPr>
          <w:rFonts w:asciiTheme="majorHAnsi" w:eastAsia="Times New Roman" w:hAnsiTheme="majorHAnsi"/>
        </w:rPr>
        <w:t>Foreign Notes</w:t>
      </w:r>
      <w:r w:rsidR="005B01B6" w:rsidRPr="00214E8E">
        <w:rPr>
          <w:rFonts w:asciiTheme="majorHAnsi" w:eastAsia="Times New Roman" w:hAnsiTheme="majorHAnsi"/>
        </w:rPr>
        <w:t>’</w:t>
      </w:r>
      <w:r w:rsidR="005D115B" w:rsidRPr="00214E8E">
        <w:rPr>
          <w:rFonts w:asciiTheme="majorHAnsi" w:eastAsia="Times New Roman" w:hAnsiTheme="majorHAnsi"/>
        </w:rPr>
        <w:t xml:space="preserve"> section</w:t>
      </w:r>
      <w:r w:rsidR="007B11AB" w:rsidRPr="00214E8E">
        <w:rPr>
          <w:rFonts w:asciiTheme="majorHAnsi" w:eastAsia="Times New Roman" w:hAnsiTheme="majorHAnsi"/>
        </w:rPr>
        <w:t xml:space="preserve"> of the </w:t>
      </w:r>
      <w:r w:rsidR="0069117D" w:rsidRPr="00214E8E">
        <w:rPr>
          <w:rFonts w:asciiTheme="majorHAnsi" w:eastAsia="Times New Roman" w:hAnsiTheme="majorHAnsi"/>
        </w:rPr>
        <w:t>magazine</w:t>
      </w:r>
      <w:r w:rsidRPr="00214E8E">
        <w:rPr>
          <w:rFonts w:asciiTheme="majorHAnsi" w:eastAsia="Times New Roman" w:hAnsiTheme="majorHAnsi"/>
        </w:rPr>
        <w:t xml:space="preserve">, and the </w:t>
      </w:r>
      <w:r w:rsidR="005D115B" w:rsidRPr="00214E8E">
        <w:rPr>
          <w:rFonts w:asciiTheme="majorHAnsi" w:eastAsia="Times New Roman" w:hAnsiTheme="majorHAnsi"/>
        </w:rPr>
        <w:t xml:space="preserve">reviewer listed the </w:t>
      </w:r>
      <w:r w:rsidRPr="00214E8E">
        <w:rPr>
          <w:rFonts w:asciiTheme="majorHAnsi" w:eastAsia="Times New Roman" w:hAnsiTheme="majorHAnsi"/>
        </w:rPr>
        <w:t xml:space="preserve">composers as </w:t>
      </w:r>
      <w:r w:rsidR="005B01B6" w:rsidRPr="00214E8E">
        <w:rPr>
          <w:rFonts w:asciiTheme="majorHAnsi" w:eastAsia="Times New Roman" w:hAnsiTheme="majorHAnsi"/>
        </w:rPr>
        <w:t>“</w:t>
      </w:r>
      <w:r w:rsidRPr="00214E8E">
        <w:rPr>
          <w:rFonts w:asciiTheme="majorHAnsi" w:eastAsia="Times New Roman" w:hAnsiTheme="majorHAnsi"/>
        </w:rPr>
        <w:t>Balfe, Mackenzie, Oakeley, Sullivan</w:t>
      </w:r>
      <w:r w:rsidR="005E18A2" w:rsidRPr="00214E8E">
        <w:rPr>
          <w:rFonts w:asciiTheme="majorHAnsi" w:eastAsia="Times New Roman" w:hAnsiTheme="majorHAnsi"/>
        </w:rPr>
        <w:t xml:space="preserve"> (</w:t>
      </w:r>
      <w:r w:rsidR="005B01B6" w:rsidRPr="00214E8E">
        <w:rPr>
          <w:rFonts w:asciiTheme="majorHAnsi" w:eastAsia="Times New Roman" w:hAnsiTheme="majorHAnsi"/>
        </w:rPr>
        <w:t>“</w:t>
      </w:r>
      <w:r w:rsidR="005E18A2" w:rsidRPr="00214E8E">
        <w:rPr>
          <w:rFonts w:asciiTheme="majorHAnsi" w:eastAsia="Times New Roman" w:hAnsiTheme="majorHAnsi"/>
        </w:rPr>
        <w:t>Overture di Ballo</w:t>
      </w:r>
      <w:r w:rsidR="005B01B6" w:rsidRPr="00214E8E">
        <w:rPr>
          <w:rFonts w:asciiTheme="majorHAnsi" w:eastAsia="Times New Roman" w:hAnsiTheme="majorHAnsi"/>
        </w:rPr>
        <w:t>”</w:t>
      </w:r>
      <w:r w:rsidR="005E18A2" w:rsidRPr="00214E8E">
        <w:rPr>
          <w:rFonts w:asciiTheme="majorHAnsi" w:eastAsia="Times New Roman" w:hAnsiTheme="majorHAnsi"/>
        </w:rPr>
        <w:t>), Parish Alvars,</w:t>
      </w:r>
      <w:r w:rsidRPr="00214E8E">
        <w:rPr>
          <w:rFonts w:asciiTheme="majorHAnsi" w:eastAsia="Times New Roman" w:hAnsiTheme="majorHAnsi"/>
        </w:rPr>
        <w:t xml:space="preserve"> </w:t>
      </w:r>
      <w:r w:rsidR="005E18A2" w:rsidRPr="00214E8E">
        <w:rPr>
          <w:rFonts w:asciiTheme="majorHAnsi" w:eastAsia="Times New Roman" w:hAnsiTheme="majorHAnsi"/>
        </w:rPr>
        <w:t xml:space="preserve">Godfrey (!), </w:t>
      </w:r>
      <w:r w:rsidRPr="00214E8E">
        <w:rPr>
          <w:rFonts w:asciiTheme="majorHAnsi" w:eastAsia="Times New Roman" w:hAnsiTheme="majorHAnsi"/>
        </w:rPr>
        <w:t>and one Delius, whoever he may be</w:t>
      </w:r>
      <w:r w:rsidR="005B01B6" w:rsidRPr="00214E8E">
        <w:rPr>
          <w:rFonts w:asciiTheme="majorHAnsi" w:eastAsia="Times New Roman" w:hAnsiTheme="majorHAnsi"/>
        </w:rPr>
        <w:t>”</w:t>
      </w:r>
      <w:r w:rsidRPr="00214E8E">
        <w:rPr>
          <w:rFonts w:asciiTheme="majorHAnsi" w:eastAsia="Times New Roman" w:hAnsiTheme="majorHAnsi"/>
        </w:rPr>
        <w:t>.</w:t>
      </w:r>
      <w:r w:rsidR="008B2C1A" w:rsidRPr="00214E8E">
        <w:rPr>
          <w:rStyle w:val="EndnoteReference"/>
          <w:rFonts w:asciiTheme="majorHAnsi" w:eastAsia="Times New Roman" w:hAnsiTheme="majorHAnsi"/>
        </w:rPr>
        <w:endnoteReference w:id="1"/>
      </w:r>
      <w:r w:rsidR="00113625" w:rsidRPr="00214E8E">
        <w:rPr>
          <w:rFonts w:asciiTheme="majorHAnsi" w:eastAsia="Times New Roman" w:hAnsiTheme="majorHAnsi"/>
        </w:rPr>
        <w:t xml:space="preserve"> Balfe, </w:t>
      </w:r>
      <w:r w:rsidRPr="00214E8E">
        <w:rPr>
          <w:rFonts w:asciiTheme="majorHAnsi" w:eastAsia="Times New Roman" w:hAnsiTheme="majorHAnsi"/>
        </w:rPr>
        <w:t>Oakeley</w:t>
      </w:r>
      <w:r w:rsidR="00113625" w:rsidRPr="00214E8E">
        <w:rPr>
          <w:rFonts w:asciiTheme="majorHAnsi" w:eastAsia="Times New Roman" w:hAnsiTheme="majorHAnsi"/>
        </w:rPr>
        <w:t>, Alvars, and Godfrey</w:t>
      </w:r>
      <w:r w:rsidRPr="00214E8E">
        <w:rPr>
          <w:rFonts w:asciiTheme="majorHAnsi" w:eastAsia="Times New Roman" w:hAnsiTheme="majorHAnsi"/>
        </w:rPr>
        <w:t xml:space="preserve"> </w:t>
      </w:r>
      <w:r w:rsidR="00113625" w:rsidRPr="00214E8E">
        <w:rPr>
          <w:rFonts w:asciiTheme="majorHAnsi" w:eastAsia="Times New Roman" w:hAnsiTheme="majorHAnsi"/>
        </w:rPr>
        <w:t xml:space="preserve">all </w:t>
      </w:r>
      <w:r w:rsidRPr="00214E8E">
        <w:rPr>
          <w:rFonts w:asciiTheme="majorHAnsi" w:eastAsia="Times New Roman" w:hAnsiTheme="majorHAnsi"/>
        </w:rPr>
        <w:t>have pretty much disappeared</w:t>
      </w:r>
      <w:r w:rsidR="00DA5AD9">
        <w:rPr>
          <w:rFonts w:asciiTheme="majorHAnsi" w:eastAsia="Times New Roman" w:hAnsiTheme="majorHAnsi"/>
        </w:rPr>
        <w:t xml:space="preserve"> from musical life</w:t>
      </w:r>
      <w:r w:rsidRPr="00214E8E">
        <w:rPr>
          <w:rFonts w:asciiTheme="majorHAnsi" w:eastAsia="Times New Roman" w:hAnsiTheme="majorHAnsi"/>
        </w:rPr>
        <w:t>, while Mackenzie is mentioned now and again. Sullivan certainly remains popular within a circumscribed cultural world</w:t>
      </w:r>
      <w:r w:rsidR="00526EE2" w:rsidRPr="00214E8E">
        <w:rPr>
          <w:rFonts w:asciiTheme="majorHAnsi" w:eastAsia="Times New Roman" w:hAnsiTheme="majorHAnsi"/>
        </w:rPr>
        <w:t xml:space="preserve">, with plenty of </w:t>
      </w:r>
      <w:r w:rsidR="00F50375" w:rsidRPr="00214E8E">
        <w:rPr>
          <w:rFonts w:asciiTheme="majorHAnsi" w:eastAsia="Times New Roman" w:hAnsiTheme="majorHAnsi"/>
        </w:rPr>
        <w:t>performances</w:t>
      </w:r>
      <w:r w:rsidRPr="00214E8E">
        <w:rPr>
          <w:rFonts w:asciiTheme="majorHAnsi" w:eastAsia="Times New Roman" w:hAnsiTheme="majorHAnsi"/>
        </w:rPr>
        <w:t xml:space="preserve">. Delius for his part </w:t>
      </w:r>
      <w:r w:rsidR="002E2047" w:rsidRPr="00214E8E">
        <w:rPr>
          <w:rFonts w:asciiTheme="majorHAnsi" w:eastAsia="Times New Roman" w:hAnsiTheme="majorHAnsi"/>
        </w:rPr>
        <w:t xml:space="preserve">is certainly a respected </w:t>
      </w:r>
      <w:r w:rsidR="00DA5AD9">
        <w:rPr>
          <w:rFonts w:asciiTheme="majorHAnsi" w:eastAsia="Times New Roman" w:hAnsiTheme="majorHAnsi"/>
        </w:rPr>
        <w:t xml:space="preserve">mainstream </w:t>
      </w:r>
      <w:r w:rsidR="002E2047" w:rsidRPr="00214E8E">
        <w:rPr>
          <w:rFonts w:asciiTheme="majorHAnsi" w:eastAsia="Times New Roman" w:hAnsiTheme="majorHAnsi"/>
        </w:rPr>
        <w:t xml:space="preserve">composer, but he </w:t>
      </w:r>
      <w:r w:rsidRPr="00214E8E">
        <w:rPr>
          <w:rFonts w:asciiTheme="majorHAnsi" w:eastAsia="Times New Roman" w:hAnsiTheme="majorHAnsi"/>
        </w:rPr>
        <w:t xml:space="preserve">has </w:t>
      </w:r>
      <w:r w:rsidR="00F50375" w:rsidRPr="00214E8E">
        <w:rPr>
          <w:rFonts w:asciiTheme="majorHAnsi" w:eastAsia="Times New Roman" w:hAnsiTheme="majorHAnsi"/>
        </w:rPr>
        <w:t xml:space="preserve">witnessed </w:t>
      </w:r>
      <w:r w:rsidRPr="00214E8E">
        <w:rPr>
          <w:rFonts w:asciiTheme="majorHAnsi" w:eastAsia="Times New Roman" w:hAnsiTheme="majorHAnsi"/>
        </w:rPr>
        <w:t xml:space="preserve">his star wax and wane at various times, and his music has </w:t>
      </w:r>
      <w:r w:rsidR="00DA5AD9">
        <w:rPr>
          <w:rFonts w:asciiTheme="majorHAnsi" w:eastAsia="Times New Roman" w:hAnsiTheme="majorHAnsi"/>
        </w:rPr>
        <w:t xml:space="preserve">been subjected to </w:t>
      </w:r>
      <w:r w:rsidRPr="00214E8E">
        <w:rPr>
          <w:rFonts w:asciiTheme="majorHAnsi" w:eastAsia="Times New Roman" w:hAnsiTheme="majorHAnsi"/>
        </w:rPr>
        <w:t xml:space="preserve">a </w:t>
      </w:r>
      <w:r w:rsidR="00570DC2" w:rsidRPr="00214E8E">
        <w:rPr>
          <w:rFonts w:asciiTheme="majorHAnsi" w:eastAsia="Times New Roman" w:hAnsiTheme="majorHAnsi"/>
        </w:rPr>
        <w:t>som</w:t>
      </w:r>
      <w:r w:rsidRPr="00214E8E">
        <w:rPr>
          <w:rFonts w:asciiTheme="majorHAnsi" w:eastAsia="Times New Roman" w:hAnsiTheme="majorHAnsi"/>
        </w:rPr>
        <w:t xml:space="preserve">ewhat chequered reception history. </w:t>
      </w:r>
      <w:r w:rsidR="00E92702" w:rsidRPr="00214E8E">
        <w:rPr>
          <w:rFonts w:asciiTheme="majorHAnsi" w:eastAsia="Times New Roman" w:hAnsiTheme="majorHAnsi"/>
        </w:rPr>
        <w:t>The work played in Monte Carlo in 1894,</w:t>
      </w:r>
      <w:r w:rsidR="00DA5AD9">
        <w:rPr>
          <w:rFonts w:asciiTheme="majorHAnsi" w:eastAsia="Times New Roman" w:hAnsiTheme="majorHAnsi"/>
        </w:rPr>
        <w:t xml:space="preserve"> for example, </w:t>
      </w:r>
      <w:r w:rsidR="00E92702" w:rsidRPr="00214E8E">
        <w:rPr>
          <w:rFonts w:asciiTheme="majorHAnsi" w:eastAsia="Times New Roman" w:hAnsiTheme="majorHAnsi"/>
          <w:i/>
        </w:rPr>
        <w:t>Paa Vidderne</w:t>
      </w:r>
      <w:r w:rsidR="00E92702" w:rsidRPr="00214E8E">
        <w:rPr>
          <w:rFonts w:asciiTheme="majorHAnsi" w:eastAsia="Times New Roman" w:hAnsiTheme="majorHAnsi"/>
        </w:rPr>
        <w:t xml:space="preserve">, has </w:t>
      </w:r>
      <w:r w:rsidR="00526EE2" w:rsidRPr="00214E8E">
        <w:rPr>
          <w:rFonts w:asciiTheme="majorHAnsi" w:eastAsia="Times New Roman" w:hAnsiTheme="majorHAnsi"/>
        </w:rPr>
        <w:t xml:space="preserve">yet to move </w:t>
      </w:r>
      <w:r w:rsidR="00E92702" w:rsidRPr="00214E8E">
        <w:rPr>
          <w:rFonts w:asciiTheme="majorHAnsi" w:eastAsia="Times New Roman" w:hAnsiTheme="majorHAnsi"/>
        </w:rPr>
        <w:t>to the centre ground of Delius reception.</w:t>
      </w:r>
      <w:r w:rsidR="0044419E" w:rsidRPr="00214E8E">
        <w:rPr>
          <w:rFonts w:asciiTheme="majorHAnsi" w:eastAsia="Times New Roman" w:hAnsiTheme="majorHAnsi"/>
        </w:rPr>
        <w:t xml:space="preserve"> Even as we have reached </w:t>
      </w:r>
      <w:r w:rsidR="00DA5AD9">
        <w:rPr>
          <w:rFonts w:asciiTheme="majorHAnsi" w:eastAsia="Times New Roman" w:hAnsiTheme="majorHAnsi"/>
        </w:rPr>
        <w:t xml:space="preserve">in 2016 </w:t>
      </w:r>
      <w:r w:rsidR="0044419E" w:rsidRPr="00214E8E">
        <w:rPr>
          <w:rFonts w:asciiTheme="majorHAnsi" w:eastAsia="Times New Roman" w:hAnsiTheme="majorHAnsi"/>
        </w:rPr>
        <w:t>the centenary year of the Violin Concerto, the String Quartet, and the Cello Sonata, these pieces have not really b</w:t>
      </w:r>
      <w:r w:rsidR="00CF1365" w:rsidRPr="00214E8E">
        <w:rPr>
          <w:rFonts w:asciiTheme="majorHAnsi" w:eastAsia="Times New Roman" w:hAnsiTheme="majorHAnsi"/>
        </w:rPr>
        <w:t>een accepted as core repertoire in conservatoires and concert halls.</w:t>
      </w:r>
    </w:p>
    <w:p w:rsidR="00E92702" w:rsidRPr="00214E8E" w:rsidRDefault="0037295C" w:rsidP="002B5EBF">
      <w:pPr>
        <w:spacing w:line="480" w:lineRule="auto"/>
        <w:ind w:firstLine="720"/>
        <w:rPr>
          <w:rFonts w:asciiTheme="majorHAnsi" w:eastAsia="Times New Roman" w:hAnsiTheme="majorHAnsi"/>
        </w:rPr>
      </w:pPr>
      <w:r w:rsidRPr="00214E8E">
        <w:rPr>
          <w:rFonts w:asciiTheme="majorHAnsi" w:eastAsia="Times New Roman" w:hAnsiTheme="majorHAnsi"/>
        </w:rPr>
        <w:t>There is</w:t>
      </w:r>
      <w:r w:rsidR="00DA5AD9">
        <w:rPr>
          <w:rFonts w:asciiTheme="majorHAnsi" w:eastAsia="Times New Roman" w:hAnsiTheme="majorHAnsi"/>
        </w:rPr>
        <w:t>, in other words,</w:t>
      </w:r>
      <w:r w:rsidRPr="00214E8E">
        <w:rPr>
          <w:rFonts w:asciiTheme="majorHAnsi" w:eastAsia="Times New Roman" w:hAnsiTheme="majorHAnsi"/>
        </w:rPr>
        <w:t xml:space="preserve"> an interesting knot of issues waiting to be untied </w:t>
      </w:r>
      <w:r w:rsidR="00526EE2" w:rsidRPr="00214E8E">
        <w:rPr>
          <w:rFonts w:asciiTheme="majorHAnsi" w:eastAsia="Times New Roman" w:hAnsiTheme="majorHAnsi"/>
        </w:rPr>
        <w:t>and re-united in Delius reception</w:t>
      </w:r>
      <w:r w:rsidR="0044419E" w:rsidRPr="00214E8E">
        <w:rPr>
          <w:rFonts w:asciiTheme="majorHAnsi" w:eastAsia="Times New Roman" w:hAnsiTheme="majorHAnsi"/>
        </w:rPr>
        <w:t xml:space="preserve">. This constellation </w:t>
      </w:r>
      <w:r w:rsidRPr="00214E8E">
        <w:rPr>
          <w:rFonts w:asciiTheme="majorHAnsi" w:eastAsia="Times New Roman" w:hAnsiTheme="majorHAnsi"/>
        </w:rPr>
        <w:t>includes</w:t>
      </w:r>
      <w:r w:rsidR="00526EE2" w:rsidRPr="00214E8E">
        <w:rPr>
          <w:rFonts w:asciiTheme="majorHAnsi" w:eastAsia="Times New Roman" w:hAnsiTheme="majorHAnsi"/>
        </w:rPr>
        <w:t xml:space="preserve"> the following</w:t>
      </w:r>
      <w:r w:rsidRPr="00214E8E">
        <w:rPr>
          <w:rFonts w:asciiTheme="majorHAnsi" w:eastAsia="Times New Roman" w:hAnsiTheme="majorHAnsi"/>
        </w:rPr>
        <w:t>: the European geography of Delius</w:t>
      </w:r>
      <w:r w:rsidR="005B01B6" w:rsidRPr="00214E8E">
        <w:rPr>
          <w:rFonts w:asciiTheme="majorHAnsi" w:eastAsia="Times New Roman" w:hAnsiTheme="majorHAnsi"/>
        </w:rPr>
        <w:t>’</w:t>
      </w:r>
      <w:r w:rsidRPr="00214E8E">
        <w:rPr>
          <w:rFonts w:asciiTheme="majorHAnsi" w:eastAsia="Times New Roman" w:hAnsiTheme="majorHAnsi"/>
        </w:rPr>
        <w:t xml:space="preserve"> life abroad and his eventual </w:t>
      </w:r>
      <w:r w:rsidR="00167441" w:rsidRPr="00214E8E">
        <w:rPr>
          <w:rFonts w:asciiTheme="majorHAnsi" w:eastAsia="Times New Roman" w:hAnsiTheme="majorHAnsi"/>
        </w:rPr>
        <w:t>internment in a Surrey cemetery;</w:t>
      </w:r>
      <w:r w:rsidRPr="00214E8E">
        <w:rPr>
          <w:rFonts w:asciiTheme="majorHAnsi" w:eastAsia="Times New Roman" w:hAnsiTheme="majorHAnsi"/>
        </w:rPr>
        <w:t xml:space="preserve"> </w:t>
      </w:r>
      <w:r w:rsidR="00167441" w:rsidRPr="00214E8E">
        <w:rPr>
          <w:rFonts w:asciiTheme="majorHAnsi" w:eastAsia="Times New Roman" w:hAnsiTheme="majorHAnsi"/>
        </w:rPr>
        <w:t>the music</w:t>
      </w:r>
      <w:r w:rsidR="005B01B6" w:rsidRPr="00214E8E">
        <w:rPr>
          <w:rFonts w:asciiTheme="majorHAnsi" w:eastAsia="Times New Roman" w:hAnsiTheme="majorHAnsi"/>
        </w:rPr>
        <w:t>’</w:t>
      </w:r>
      <w:r w:rsidR="00167441" w:rsidRPr="00214E8E">
        <w:rPr>
          <w:rFonts w:asciiTheme="majorHAnsi" w:eastAsia="Times New Roman" w:hAnsiTheme="majorHAnsi"/>
        </w:rPr>
        <w:t xml:space="preserve">s </w:t>
      </w:r>
      <w:r w:rsidR="00CF1365" w:rsidRPr="00214E8E">
        <w:rPr>
          <w:rFonts w:asciiTheme="majorHAnsi" w:eastAsia="Times New Roman" w:hAnsiTheme="majorHAnsi"/>
        </w:rPr>
        <w:t>complex aesthetic relationship with Euro-Modernism</w:t>
      </w:r>
      <w:r w:rsidR="00167441" w:rsidRPr="00214E8E">
        <w:rPr>
          <w:rFonts w:asciiTheme="majorHAnsi" w:eastAsia="Times New Roman" w:hAnsiTheme="majorHAnsi"/>
        </w:rPr>
        <w:t>;</w:t>
      </w:r>
      <w:r w:rsidR="00CF1365" w:rsidRPr="00214E8E">
        <w:rPr>
          <w:rFonts w:asciiTheme="majorHAnsi" w:eastAsia="Times New Roman" w:hAnsiTheme="majorHAnsi"/>
        </w:rPr>
        <w:t xml:space="preserve"> </w:t>
      </w:r>
      <w:r w:rsidRPr="00214E8E">
        <w:rPr>
          <w:rFonts w:asciiTheme="majorHAnsi" w:eastAsia="Times New Roman" w:hAnsiTheme="majorHAnsi"/>
        </w:rPr>
        <w:t xml:space="preserve">the varying degrees of Englishness attributed to his music, both in academic writing and in more normal </w:t>
      </w:r>
      <w:r w:rsidR="00526EE2" w:rsidRPr="00214E8E">
        <w:rPr>
          <w:rFonts w:asciiTheme="majorHAnsi" w:eastAsia="Times New Roman" w:hAnsiTheme="majorHAnsi"/>
        </w:rPr>
        <w:t xml:space="preserve">journalistic </w:t>
      </w:r>
      <w:r w:rsidRPr="00214E8E">
        <w:rPr>
          <w:rFonts w:asciiTheme="majorHAnsi" w:eastAsia="Times New Roman" w:hAnsiTheme="majorHAnsi"/>
        </w:rPr>
        <w:t>writing; Delius</w:t>
      </w:r>
      <w:r w:rsidR="005B01B6" w:rsidRPr="00214E8E">
        <w:rPr>
          <w:rFonts w:asciiTheme="majorHAnsi" w:eastAsia="Times New Roman" w:hAnsiTheme="majorHAnsi"/>
        </w:rPr>
        <w:t>’</w:t>
      </w:r>
      <w:r w:rsidRPr="00214E8E">
        <w:rPr>
          <w:rFonts w:asciiTheme="majorHAnsi" w:eastAsia="Times New Roman" w:hAnsiTheme="majorHAnsi"/>
        </w:rPr>
        <w:t xml:space="preserve"> relation to the rise of the recording industry and music publicity more generally; and his idiosyncratic</w:t>
      </w:r>
      <w:r w:rsidR="00422829" w:rsidRPr="00214E8E">
        <w:rPr>
          <w:rFonts w:asciiTheme="majorHAnsi" w:eastAsia="Times New Roman" w:hAnsiTheme="majorHAnsi"/>
        </w:rPr>
        <w:t>ally Nietzschean</w:t>
      </w:r>
      <w:r w:rsidRPr="00214E8E">
        <w:rPr>
          <w:rFonts w:asciiTheme="majorHAnsi" w:eastAsia="Times New Roman" w:hAnsiTheme="majorHAnsi"/>
        </w:rPr>
        <w:t xml:space="preserve"> personal views on such </w:t>
      </w:r>
      <w:r w:rsidRPr="00214E8E">
        <w:rPr>
          <w:rFonts w:asciiTheme="majorHAnsi" w:eastAsia="Times New Roman" w:hAnsiTheme="majorHAnsi"/>
        </w:rPr>
        <w:lastRenderedPageBreak/>
        <w:t>things as religion, life and death, the role of art (music) in modern life, and the nature of the properly artistic life.</w:t>
      </w:r>
    </w:p>
    <w:p w:rsidR="005A0455" w:rsidRPr="00214E8E" w:rsidRDefault="003D2F47" w:rsidP="002B5EBF">
      <w:pPr>
        <w:spacing w:line="480" w:lineRule="auto"/>
        <w:ind w:firstLine="720"/>
        <w:rPr>
          <w:rFonts w:asciiTheme="majorHAnsi" w:eastAsia="Times New Roman" w:hAnsiTheme="majorHAnsi"/>
        </w:rPr>
      </w:pPr>
      <w:r w:rsidRPr="00214E8E">
        <w:rPr>
          <w:rFonts w:asciiTheme="majorHAnsi" w:eastAsia="Times New Roman" w:hAnsiTheme="majorHAnsi"/>
        </w:rPr>
        <w:t xml:space="preserve">In this </w:t>
      </w:r>
      <w:r w:rsidR="00FE2E04" w:rsidRPr="00214E8E">
        <w:rPr>
          <w:rFonts w:asciiTheme="majorHAnsi" w:eastAsia="Times New Roman" w:hAnsiTheme="majorHAnsi"/>
        </w:rPr>
        <w:t>essay</w:t>
      </w:r>
      <w:r w:rsidR="00113625" w:rsidRPr="00214E8E">
        <w:rPr>
          <w:rFonts w:asciiTheme="majorHAnsi" w:eastAsia="Times New Roman" w:hAnsiTheme="majorHAnsi"/>
        </w:rPr>
        <w:t xml:space="preserve"> I will discuss a </w:t>
      </w:r>
      <w:r w:rsidR="00DA5AD9">
        <w:rPr>
          <w:rFonts w:asciiTheme="majorHAnsi" w:eastAsia="Times New Roman" w:hAnsiTheme="majorHAnsi"/>
        </w:rPr>
        <w:t xml:space="preserve">relatively </w:t>
      </w:r>
      <w:r w:rsidR="00E92702" w:rsidRPr="00214E8E">
        <w:rPr>
          <w:rFonts w:asciiTheme="majorHAnsi" w:eastAsia="Times New Roman" w:hAnsiTheme="majorHAnsi"/>
        </w:rPr>
        <w:t xml:space="preserve">minor </w:t>
      </w:r>
      <w:r w:rsidR="00B84170" w:rsidRPr="00214E8E">
        <w:rPr>
          <w:rFonts w:asciiTheme="majorHAnsi" w:eastAsia="Times New Roman" w:hAnsiTheme="majorHAnsi"/>
        </w:rPr>
        <w:t>topic</w:t>
      </w:r>
      <w:r w:rsidR="00394BDF" w:rsidRPr="00214E8E">
        <w:rPr>
          <w:rFonts w:asciiTheme="majorHAnsi" w:eastAsia="Times New Roman" w:hAnsiTheme="majorHAnsi"/>
        </w:rPr>
        <w:t xml:space="preserve"> in </w:t>
      </w:r>
      <w:r w:rsidR="00E92702" w:rsidRPr="00214E8E">
        <w:rPr>
          <w:rFonts w:asciiTheme="majorHAnsi" w:eastAsia="Times New Roman" w:hAnsiTheme="majorHAnsi"/>
        </w:rPr>
        <w:t xml:space="preserve">the </w:t>
      </w:r>
      <w:r w:rsidRPr="00214E8E">
        <w:rPr>
          <w:rFonts w:asciiTheme="majorHAnsi" w:eastAsia="Times New Roman" w:hAnsiTheme="majorHAnsi"/>
        </w:rPr>
        <w:t>reception history</w:t>
      </w:r>
      <w:r w:rsidR="00E92702" w:rsidRPr="00214E8E">
        <w:rPr>
          <w:rFonts w:asciiTheme="majorHAnsi" w:eastAsia="Times New Roman" w:hAnsiTheme="majorHAnsi"/>
        </w:rPr>
        <w:t xml:space="preserve"> of Delius</w:t>
      </w:r>
      <w:r w:rsidR="005B01B6" w:rsidRPr="00214E8E">
        <w:rPr>
          <w:rFonts w:asciiTheme="majorHAnsi" w:eastAsia="Times New Roman" w:hAnsiTheme="majorHAnsi"/>
        </w:rPr>
        <w:t>’</w:t>
      </w:r>
      <w:r w:rsidR="00E92702" w:rsidRPr="00214E8E">
        <w:rPr>
          <w:rFonts w:asciiTheme="majorHAnsi" w:eastAsia="Times New Roman" w:hAnsiTheme="majorHAnsi"/>
        </w:rPr>
        <w:t xml:space="preserve"> music</w:t>
      </w:r>
      <w:r w:rsidRPr="00214E8E">
        <w:rPr>
          <w:rFonts w:asciiTheme="majorHAnsi" w:eastAsia="Times New Roman" w:hAnsiTheme="majorHAnsi"/>
        </w:rPr>
        <w:t>.</w:t>
      </w:r>
      <w:r w:rsidR="000E14CE" w:rsidRPr="00214E8E">
        <w:rPr>
          <w:rFonts w:asciiTheme="majorHAnsi" w:eastAsia="Times New Roman" w:hAnsiTheme="majorHAnsi"/>
        </w:rPr>
        <w:t xml:space="preserve"> </w:t>
      </w:r>
      <w:r w:rsidR="00113625" w:rsidRPr="00214E8E">
        <w:rPr>
          <w:rFonts w:asciiTheme="majorHAnsi" w:eastAsia="Times New Roman" w:hAnsiTheme="majorHAnsi"/>
        </w:rPr>
        <w:t xml:space="preserve">This is informed by my interest </w:t>
      </w:r>
      <w:r w:rsidR="000E14CE" w:rsidRPr="00214E8E">
        <w:rPr>
          <w:rFonts w:asciiTheme="majorHAnsi" w:eastAsia="Times New Roman" w:hAnsiTheme="majorHAnsi"/>
        </w:rPr>
        <w:t xml:space="preserve">in </w:t>
      </w:r>
      <w:r w:rsidR="00CF1365" w:rsidRPr="00214E8E">
        <w:rPr>
          <w:rFonts w:asciiTheme="majorHAnsi" w:eastAsia="Times New Roman" w:hAnsiTheme="majorHAnsi"/>
        </w:rPr>
        <w:t xml:space="preserve">the </w:t>
      </w:r>
      <w:r w:rsidR="000E14CE" w:rsidRPr="00214E8E">
        <w:rPr>
          <w:rFonts w:asciiTheme="majorHAnsi" w:eastAsia="Times New Roman" w:hAnsiTheme="majorHAnsi"/>
        </w:rPr>
        <w:t xml:space="preserve">differing, </w:t>
      </w:r>
      <w:r w:rsidR="00CF1365" w:rsidRPr="00214E8E">
        <w:rPr>
          <w:rFonts w:asciiTheme="majorHAnsi" w:eastAsia="Times New Roman" w:hAnsiTheme="majorHAnsi"/>
        </w:rPr>
        <w:t xml:space="preserve">and </w:t>
      </w:r>
      <w:r w:rsidR="000E14CE" w:rsidRPr="00214E8E">
        <w:rPr>
          <w:rFonts w:asciiTheme="majorHAnsi" w:eastAsia="Times New Roman" w:hAnsiTheme="majorHAnsi"/>
        </w:rPr>
        <w:t xml:space="preserve">sometimes contrasted, perceptions of his music, and how these impact on the relationship between his life and art, man and music. </w:t>
      </w:r>
      <w:r w:rsidR="0044419E" w:rsidRPr="00214E8E">
        <w:rPr>
          <w:rFonts w:asciiTheme="majorHAnsi" w:eastAsia="Times New Roman" w:hAnsiTheme="majorHAnsi"/>
        </w:rPr>
        <w:t xml:space="preserve">I present some </w:t>
      </w:r>
      <w:r w:rsidR="002E2047" w:rsidRPr="00214E8E">
        <w:rPr>
          <w:rFonts w:asciiTheme="majorHAnsi" w:eastAsia="Times New Roman" w:hAnsiTheme="majorHAnsi"/>
        </w:rPr>
        <w:t xml:space="preserve">materials contemporaneous with </w:t>
      </w:r>
      <w:r w:rsidR="000E14CE" w:rsidRPr="00214E8E">
        <w:rPr>
          <w:rFonts w:asciiTheme="majorHAnsi" w:eastAsia="Times New Roman" w:hAnsiTheme="majorHAnsi"/>
        </w:rPr>
        <w:t>Delius</w:t>
      </w:r>
      <w:r w:rsidR="005B01B6" w:rsidRPr="00214E8E">
        <w:rPr>
          <w:rFonts w:asciiTheme="majorHAnsi" w:eastAsia="Times New Roman" w:hAnsiTheme="majorHAnsi"/>
        </w:rPr>
        <w:t>’</w:t>
      </w:r>
      <w:r w:rsidR="000E14CE" w:rsidRPr="00214E8E">
        <w:rPr>
          <w:rFonts w:asciiTheme="majorHAnsi" w:eastAsia="Times New Roman" w:hAnsiTheme="majorHAnsi"/>
        </w:rPr>
        <w:t xml:space="preserve">s music, focussing </w:t>
      </w:r>
      <w:r w:rsidR="002E2047" w:rsidRPr="00214E8E">
        <w:rPr>
          <w:rFonts w:asciiTheme="majorHAnsi" w:eastAsia="Times New Roman" w:hAnsiTheme="majorHAnsi"/>
        </w:rPr>
        <w:t xml:space="preserve">on their juxtaposition </w:t>
      </w:r>
      <w:r w:rsidR="000E14CE" w:rsidRPr="00214E8E">
        <w:rPr>
          <w:rFonts w:asciiTheme="majorHAnsi" w:eastAsia="Times New Roman" w:hAnsiTheme="majorHAnsi"/>
        </w:rPr>
        <w:t xml:space="preserve">less </w:t>
      </w:r>
      <w:r w:rsidR="002E2047" w:rsidRPr="00214E8E">
        <w:rPr>
          <w:rFonts w:asciiTheme="majorHAnsi" w:eastAsia="Times New Roman" w:hAnsiTheme="majorHAnsi"/>
        </w:rPr>
        <w:t xml:space="preserve">in terms of </w:t>
      </w:r>
      <w:r w:rsidR="000E14CE" w:rsidRPr="00214E8E">
        <w:rPr>
          <w:rFonts w:asciiTheme="majorHAnsi" w:eastAsia="Times New Roman" w:hAnsiTheme="majorHAnsi"/>
        </w:rPr>
        <w:t xml:space="preserve">whether these perceptions and judgements were </w:t>
      </w:r>
      <w:r w:rsidR="00DA5AD9">
        <w:rPr>
          <w:rFonts w:asciiTheme="majorHAnsi" w:eastAsia="Times New Roman" w:hAnsiTheme="majorHAnsi"/>
        </w:rPr>
        <w:t xml:space="preserve">once true </w:t>
      </w:r>
      <w:r w:rsidR="000E14CE" w:rsidRPr="00214E8E">
        <w:rPr>
          <w:rFonts w:asciiTheme="majorHAnsi" w:eastAsia="Times New Roman" w:hAnsiTheme="majorHAnsi"/>
        </w:rPr>
        <w:t xml:space="preserve">or </w:t>
      </w:r>
      <w:r w:rsidR="00DA5AD9">
        <w:rPr>
          <w:rFonts w:asciiTheme="majorHAnsi" w:eastAsia="Times New Roman" w:hAnsiTheme="majorHAnsi"/>
        </w:rPr>
        <w:t xml:space="preserve">remain </w:t>
      </w:r>
      <w:r w:rsidR="000E14CE" w:rsidRPr="00214E8E">
        <w:rPr>
          <w:rFonts w:asciiTheme="majorHAnsi" w:eastAsia="Times New Roman" w:hAnsiTheme="majorHAnsi"/>
        </w:rPr>
        <w:t>true</w:t>
      </w:r>
      <w:r w:rsidR="00DA5AD9">
        <w:rPr>
          <w:rFonts w:asciiTheme="majorHAnsi" w:eastAsia="Times New Roman" w:hAnsiTheme="majorHAnsi"/>
        </w:rPr>
        <w:t xml:space="preserve"> today</w:t>
      </w:r>
      <w:r w:rsidR="000E14CE" w:rsidRPr="00214E8E">
        <w:rPr>
          <w:rFonts w:asciiTheme="majorHAnsi" w:eastAsia="Times New Roman" w:hAnsiTheme="majorHAnsi"/>
        </w:rPr>
        <w:t xml:space="preserve">, and more </w:t>
      </w:r>
      <w:r w:rsidR="002E2047" w:rsidRPr="00214E8E">
        <w:rPr>
          <w:rFonts w:asciiTheme="majorHAnsi" w:eastAsia="Times New Roman" w:hAnsiTheme="majorHAnsi"/>
        </w:rPr>
        <w:t xml:space="preserve">in terms of the </w:t>
      </w:r>
      <w:r w:rsidR="000E14CE" w:rsidRPr="00214E8E">
        <w:rPr>
          <w:rFonts w:asciiTheme="majorHAnsi" w:eastAsia="Times New Roman" w:hAnsiTheme="majorHAnsi"/>
        </w:rPr>
        <w:t xml:space="preserve">kind of cultural work they </w:t>
      </w:r>
      <w:r w:rsidR="002E2047" w:rsidRPr="00214E8E">
        <w:rPr>
          <w:rFonts w:asciiTheme="majorHAnsi" w:eastAsia="Times New Roman" w:hAnsiTheme="majorHAnsi"/>
        </w:rPr>
        <w:t xml:space="preserve">may have been setting out to </w:t>
      </w:r>
      <w:r w:rsidR="000E14CE" w:rsidRPr="00214E8E">
        <w:rPr>
          <w:rFonts w:asciiTheme="majorHAnsi" w:eastAsia="Times New Roman" w:hAnsiTheme="majorHAnsi"/>
        </w:rPr>
        <w:t>accomplish</w:t>
      </w:r>
      <w:r w:rsidR="00DA5AD9">
        <w:rPr>
          <w:rFonts w:asciiTheme="majorHAnsi" w:eastAsia="Times New Roman" w:hAnsiTheme="majorHAnsi"/>
        </w:rPr>
        <w:t xml:space="preserve"> at the time and which may be felt as still active today</w:t>
      </w:r>
      <w:r w:rsidR="000E14CE" w:rsidRPr="00214E8E">
        <w:rPr>
          <w:rFonts w:asciiTheme="majorHAnsi" w:eastAsia="Times New Roman" w:hAnsiTheme="majorHAnsi"/>
        </w:rPr>
        <w:t>.</w:t>
      </w:r>
      <w:r w:rsidR="00422829" w:rsidRPr="00214E8E">
        <w:rPr>
          <w:rFonts w:asciiTheme="majorHAnsi" w:eastAsia="Times New Roman" w:hAnsiTheme="majorHAnsi"/>
        </w:rPr>
        <w:t xml:space="preserve"> My case study is a minor and </w:t>
      </w:r>
      <w:r w:rsidR="00DA5AD9">
        <w:rPr>
          <w:rFonts w:asciiTheme="majorHAnsi" w:eastAsia="Times New Roman" w:hAnsiTheme="majorHAnsi"/>
        </w:rPr>
        <w:t xml:space="preserve">all but </w:t>
      </w:r>
      <w:r w:rsidR="00422829" w:rsidRPr="00214E8E">
        <w:rPr>
          <w:rFonts w:asciiTheme="majorHAnsi" w:eastAsia="Times New Roman" w:hAnsiTheme="majorHAnsi"/>
        </w:rPr>
        <w:t>forgotten miniature from just after the end of the First World War.</w:t>
      </w:r>
    </w:p>
    <w:p w:rsidR="00526EE2" w:rsidRPr="00214E8E" w:rsidRDefault="00526EE2" w:rsidP="002B5EBF">
      <w:pPr>
        <w:spacing w:line="480" w:lineRule="auto"/>
        <w:rPr>
          <w:rFonts w:asciiTheme="majorHAnsi" w:eastAsia="Times New Roman" w:hAnsiTheme="majorHAnsi"/>
        </w:rPr>
      </w:pPr>
    </w:p>
    <w:p w:rsidR="00B84170" w:rsidRPr="00214E8E" w:rsidRDefault="00B84170" w:rsidP="002B5EBF">
      <w:pPr>
        <w:spacing w:line="480" w:lineRule="auto"/>
        <w:rPr>
          <w:rFonts w:asciiTheme="majorHAnsi" w:eastAsia="Times New Roman" w:hAnsiTheme="majorHAnsi"/>
        </w:rPr>
      </w:pPr>
      <w:r w:rsidRPr="00214E8E">
        <w:rPr>
          <w:rFonts w:asciiTheme="majorHAnsi" w:eastAsia="Times New Roman" w:hAnsiTheme="majorHAnsi"/>
        </w:rPr>
        <w:t>2</w:t>
      </w:r>
    </w:p>
    <w:p w:rsidR="00394BDF" w:rsidRPr="00214E8E" w:rsidRDefault="002E2047" w:rsidP="002B5EBF">
      <w:pPr>
        <w:spacing w:line="480" w:lineRule="auto"/>
        <w:rPr>
          <w:rFonts w:asciiTheme="majorHAnsi" w:eastAsia="Times New Roman" w:hAnsiTheme="majorHAnsi"/>
        </w:rPr>
      </w:pPr>
      <w:r w:rsidRPr="00214E8E">
        <w:rPr>
          <w:rFonts w:asciiTheme="majorHAnsi" w:eastAsia="Times New Roman" w:hAnsiTheme="majorHAnsi"/>
        </w:rPr>
        <w:t xml:space="preserve">I begin with </w:t>
      </w:r>
      <w:r w:rsidR="00394BDF" w:rsidRPr="00214E8E">
        <w:rPr>
          <w:rFonts w:asciiTheme="majorHAnsi" w:eastAsia="Times New Roman" w:hAnsiTheme="majorHAnsi"/>
        </w:rPr>
        <w:t xml:space="preserve">a comparison of </w:t>
      </w:r>
      <w:r w:rsidR="005A0455" w:rsidRPr="00214E8E">
        <w:rPr>
          <w:rFonts w:asciiTheme="majorHAnsi" w:eastAsia="Times New Roman" w:hAnsiTheme="majorHAnsi"/>
        </w:rPr>
        <w:t>two books published in 1923</w:t>
      </w:r>
      <w:r w:rsidR="00394BDF" w:rsidRPr="00214E8E">
        <w:rPr>
          <w:rFonts w:asciiTheme="majorHAnsi" w:eastAsia="Times New Roman" w:hAnsiTheme="majorHAnsi"/>
        </w:rPr>
        <w:t xml:space="preserve">, both of which </w:t>
      </w:r>
      <w:r w:rsidR="005A0455" w:rsidRPr="00214E8E">
        <w:rPr>
          <w:rFonts w:asciiTheme="majorHAnsi" w:eastAsia="Times New Roman" w:hAnsiTheme="majorHAnsi"/>
        </w:rPr>
        <w:t>had a significant im</w:t>
      </w:r>
      <w:r w:rsidR="00DA5AD9">
        <w:rPr>
          <w:rFonts w:asciiTheme="majorHAnsi" w:eastAsia="Times New Roman" w:hAnsiTheme="majorHAnsi"/>
        </w:rPr>
        <w:t>pact on their respective fields. These are</w:t>
      </w:r>
      <w:r w:rsidR="005A0455" w:rsidRPr="00214E8E">
        <w:rPr>
          <w:rFonts w:asciiTheme="majorHAnsi" w:eastAsia="Times New Roman" w:hAnsiTheme="majorHAnsi"/>
        </w:rPr>
        <w:t xml:space="preserve"> Philip Heseltine</w:t>
      </w:r>
      <w:r w:rsidR="005B01B6" w:rsidRPr="00214E8E">
        <w:rPr>
          <w:rFonts w:asciiTheme="majorHAnsi" w:eastAsia="Times New Roman" w:hAnsiTheme="majorHAnsi"/>
        </w:rPr>
        <w:t>’</w:t>
      </w:r>
      <w:r w:rsidR="005A0455" w:rsidRPr="00214E8E">
        <w:rPr>
          <w:rFonts w:asciiTheme="majorHAnsi" w:eastAsia="Times New Roman" w:hAnsiTheme="majorHAnsi"/>
        </w:rPr>
        <w:t xml:space="preserve">s </w:t>
      </w:r>
      <w:r w:rsidR="005A0455" w:rsidRPr="00214E8E">
        <w:rPr>
          <w:rFonts w:asciiTheme="majorHAnsi" w:eastAsia="Times New Roman" w:hAnsiTheme="majorHAnsi"/>
          <w:i/>
        </w:rPr>
        <w:t>Delius</w:t>
      </w:r>
      <w:r w:rsidR="00167441" w:rsidRPr="00214E8E">
        <w:rPr>
          <w:rFonts w:asciiTheme="majorHAnsi" w:eastAsia="Times New Roman" w:hAnsiTheme="majorHAnsi"/>
        </w:rPr>
        <w:t xml:space="preserve"> and George Dyson</w:t>
      </w:r>
      <w:r w:rsidR="005B01B6" w:rsidRPr="00214E8E">
        <w:rPr>
          <w:rFonts w:asciiTheme="majorHAnsi" w:eastAsia="Times New Roman" w:hAnsiTheme="majorHAnsi"/>
        </w:rPr>
        <w:t>’</w:t>
      </w:r>
      <w:r w:rsidR="00167441" w:rsidRPr="00214E8E">
        <w:rPr>
          <w:rFonts w:asciiTheme="majorHAnsi" w:eastAsia="Times New Roman" w:hAnsiTheme="majorHAnsi"/>
        </w:rPr>
        <w:t xml:space="preserve">s </w:t>
      </w:r>
      <w:r w:rsidR="00167441" w:rsidRPr="00214E8E">
        <w:rPr>
          <w:rFonts w:asciiTheme="majorHAnsi" w:eastAsia="Times New Roman" w:hAnsiTheme="majorHAnsi"/>
          <w:i/>
        </w:rPr>
        <w:t>The New Music</w:t>
      </w:r>
      <w:r w:rsidR="005A0455" w:rsidRPr="00214E8E">
        <w:rPr>
          <w:rFonts w:asciiTheme="majorHAnsi" w:eastAsia="Times New Roman" w:hAnsiTheme="majorHAnsi"/>
        </w:rPr>
        <w:t xml:space="preserve">. </w:t>
      </w:r>
      <w:r w:rsidR="00025F79" w:rsidRPr="00214E8E">
        <w:rPr>
          <w:rFonts w:asciiTheme="majorHAnsi" w:eastAsia="Times New Roman" w:hAnsiTheme="majorHAnsi"/>
        </w:rPr>
        <w:t xml:space="preserve">Both </w:t>
      </w:r>
      <w:r w:rsidR="00DA5AD9">
        <w:rPr>
          <w:rFonts w:asciiTheme="majorHAnsi" w:eastAsia="Times New Roman" w:hAnsiTheme="majorHAnsi"/>
        </w:rPr>
        <w:t xml:space="preserve">books </w:t>
      </w:r>
      <w:r w:rsidR="00025F79" w:rsidRPr="00214E8E">
        <w:rPr>
          <w:rFonts w:asciiTheme="majorHAnsi" w:eastAsia="Times New Roman" w:hAnsiTheme="majorHAnsi"/>
        </w:rPr>
        <w:t>precede</w:t>
      </w:r>
      <w:r w:rsidR="00C71606" w:rsidRPr="00214E8E">
        <w:rPr>
          <w:rFonts w:asciiTheme="majorHAnsi" w:eastAsia="Times New Roman" w:hAnsiTheme="majorHAnsi"/>
        </w:rPr>
        <w:t>d</w:t>
      </w:r>
      <w:r w:rsidR="00025F79" w:rsidRPr="00214E8E">
        <w:rPr>
          <w:rFonts w:asciiTheme="majorHAnsi" w:eastAsia="Times New Roman" w:hAnsiTheme="majorHAnsi"/>
        </w:rPr>
        <w:t xml:space="preserve"> Eric Fenby</w:t>
      </w:r>
      <w:r w:rsidR="005B01B6" w:rsidRPr="00214E8E">
        <w:rPr>
          <w:rFonts w:asciiTheme="majorHAnsi" w:eastAsia="Times New Roman" w:hAnsiTheme="majorHAnsi"/>
        </w:rPr>
        <w:t>’</w:t>
      </w:r>
      <w:r w:rsidR="00025F79" w:rsidRPr="00214E8E">
        <w:rPr>
          <w:rFonts w:asciiTheme="majorHAnsi" w:eastAsia="Times New Roman" w:hAnsiTheme="majorHAnsi"/>
        </w:rPr>
        <w:t xml:space="preserve">s first proper article on Delius (1934) by more than a decade, and so </w:t>
      </w:r>
      <w:r w:rsidR="00C71606" w:rsidRPr="00214E8E">
        <w:rPr>
          <w:rFonts w:asciiTheme="majorHAnsi" w:eastAsia="Times New Roman" w:hAnsiTheme="majorHAnsi"/>
        </w:rPr>
        <w:t xml:space="preserve">had </w:t>
      </w:r>
      <w:r w:rsidR="00025F79" w:rsidRPr="00214E8E">
        <w:rPr>
          <w:rFonts w:asciiTheme="majorHAnsi" w:eastAsia="Times New Roman" w:hAnsiTheme="majorHAnsi"/>
        </w:rPr>
        <w:t xml:space="preserve">to </w:t>
      </w:r>
      <w:r w:rsidR="00C56257" w:rsidRPr="00214E8E">
        <w:rPr>
          <w:rFonts w:asciiTheme="majorHAnsi" w:eastAsia="Times New Roman" w:hAnsiTheme="majorHAnsi"/>
        </w:rPr>
        <w:t xml:space="preserve">write </w:t>
      </w:r>
      <w:r w:rsidRPr="00214E8E">
        <w:rPr>
          <w:rFonts w:asciiTheme="majorHAnsi" w:eastAsia="Times New Roman" w:hAnsiTheme="majorHAnsi"/>
        </w:rPr>
        <w:t>pretty much on their own. O</w:t>
      </w:r>
      <w:r w:rsidR="00025F79" w:rsidRPr="00214E8E">
        <w:rPr>
          <w:rFonts w:asciiTheme="majorHAnsi" w:eastAsia="Times New Roman" w:hAnsiTheme="majorHAnsi"/>
        </w:rPr>
        <w:t>bviously</w:t>
      </w:r>
      <w:r w:rsidRPr="00214E8E">
        <w:rPr>
          <w:rFonts w:asciiTheme="majorHAnsi" w:eastAsia="Times New Roman" w:hAnsiTheme="majorHAnsi"/>
        </w:rPr>
        <w:t xml:space="preserve">, </w:t>
      </w:r>
      <w:r w:rsidR="00025F79" w:rsidRPr="00214E8E">
        <w:rPr>
          <w:rFonts w:asciiTheme="majorHAnsi" w:eastAsia="Times New Roman" w:hAnsiTheme="majorHAnsi"/>
        </w:rPr>
        <w:t xml:space="preserve">Heseltine himself </w:t>
      </w:r>
      <w:r w:rsidR="00C56257" w:rsidRPr="00214E8E">
        <w:rPr>
          <w:rFonts w:asciiTheme="majorHAnsi" w:eastAsia="Times New Roman" w:hAnsiTheme="majorHAnsi"/>
        </w:rPr>
        <w:t xml:space="preserve">had </w:t>
      </w:r>
      <w:r w:rsidR="00C71606" w:rsidRPr="00214E8E">
        <w:rPr>
          <w:rFonts w:asciiTheme="majorHAnsi" w:eastAsia="Times New Roman" w:hAnsiTheme="majorHAnsi"/>
        </w:rPr>
        <w:t xml:space="preserve">known Delius well </w:t>
      </w:r>
      <w:r w:rsidR="00C56257" w:rsidRPr="00214E8E">
        <w:rPr>
          <w:rFonts w:asciiTheme="majorHAnsi" w:eastAsia="Times New Roman" w:hAnsiTheme="majorHAnsi"/>
        </w:rPr>
        <w:t xml:space="preserve">since he was a teenager, </w:t>
      </w:r>
      <w:r w:rsidR="00025F79" w:rsidRPr="00214E8E">
        <w:rPr>
          <w:rFonts w:asciiTheme="majorHAnsi" w:eastAsia="Times New Roman" w:hAnsiTheme="majorHAnsi"/>
        </w:rPr>
        <w:t xml:space="preserve">and Dyson was certainly </w:t>
      </w:r>
      <w:r w:rsidR="00025F79" w:rsidRPr="00214E8E">
        <w:rPr>
          <w:rFonts w:asciiTheme="majorHAnsi" w:eastAsia="Times New Roman" w:hAnsiTheme="majorHAnsi"/>
          <w:i/>
        </w:rPr>
        <w:t>au courant</w:t>
      </w:r>
      <w:r w:rsidR="00025F79" w:rsidRPr="00214E8E">
        <w:rPr>
          <w:rFonts w:asciiTheme="majorHAnsi" w:eastAsia="Times New Roman" w:hAnsiTheme="majorHAnsi"/>
        </w:rPr>
        <w:t xml:space="preserve"> with </w:t>
      </w:r>
      <w:r w:rsidR="00167441" w:rsidRPr="00214E8E">
        <w:rPr>
          <w:rFonts w:asciiTheme="majorHAnsi" w:eastAsia="Times New Roman" w:hAnsiTheme="majorHAnsi"/>
        </w:rPr>
        <w:t>developments</w:t>
      </w:r>
      <w:r w:rsidR="00B144D7" w:rsidRPr="00214E8E">
        <w:rPr>
          <w:rFonts w:asciiTheme="majorHAnsi" w:eastAsia="Times New Roman" w:hAnsiTheme="majorHAnsi"/>
        </w:rPr>
        <w:t xml:space="preserve">, having been </w:t>
      </w:r>
      <w:r w:rsidR="00025F79" w:rsidRPr="00214E8E">
        <w:rPr>
          <w:rFonts w:asciiTheme="majorHAnsi" w:eastAsia="Times New Roman" w:hAnsiTheme="majorHAnsi"/>
        </w:rPr>
        <w:t xml:space="preserve">appointed temporary professor of composition, harmony and counterpoint at the Royal College of Music in </w:t>
      </w:r>
      <w:r w:rsidR="00B144D7" w:rsidRPr="00214E8E">
        <w:rPr>
          <w:rFonts w:asciiTheme="majorHAnsi" w:eastAsia="Times New Roman" w:hAnsiTheme="majorHAnsi"/>
        </w:rPr>
        <w:t>1923.</w:t>
      </w:r>
      <w:r w:rsidR="00025F79" w:rsidRPr="00214E8E">
        <w:rPr>
          <w:rStyle w:val="EndnoteReference"/>
          <w:rFonts w:asciiTheme="majorHAnsi" w:eastAsia="Times New Roman" w:hAnsiTheme="majorHAnsi"/>
        </w:rPr>
        <w:endnoteReference w:id="2"/>
      </w:r>
    </w:p>
    <w:p w:rsidR="004B6DD9" w:rsidRPr="00214E8E" w:rsidRDefault="004B6DD9" w:rsidP="002B5EBF">
      <w:pPr>
        <w:spacing w:line="480" w:lineRule="auto"/>
        <w:ind w:firstLine="720"/>
        <w:rPr>
          <w:rFonts w:asciiTheme="majorHAnsi" w:eastAsia="Times New Roman" w:hAnsiTheme="majorHAnsi"/>
        </w:rPr>
      </w:pPr>
      <w:r w:rsidRPr="00214E8E">
        <w:rPr>
          <w:rFonts w:asciiTheme="majorHAnsi" w:eastAsia="Times New Roman" w:hAnsiTheme="majorHAnsi"/>
        </w:rPr>
        <w:t>Heseltine</w:t>
      </w:r>
      <w:r w:rsidR="005B01B6" w:rsidRPr="00214E8E">
        <w:rPr>
          <w:rFonts w:asciiTheme="majorHAnsi" w:eastAsia="Times New Roman" w:hAnsiTheme="majorHAnsi"/>
        </w:rPr>
        <w:t>’</w:t>
      </w:r>
      <w:r w:rsidRPr="00214E8E">
        <w:rPr>
          <w:rFonts w:asciiTheme="majorHAnsi" w:eastAsia="Times New Roman" w:hAnsiTheme="majorHAnsi"/>
        </w:rPr>
        <w:t xml:space="preserve">s </w:t>
      </w:r>
      <w:r w:rsidR="00CF1365" w:rsidRPr="00214E8E">
        <w:rPr>
          <w:rFonts w:asciiTheme="majorHAnsi" w:eastAsia="Times New Roman" w:hAnsiTheme="majorHAnsi"/>
          <w:i/>
        </w:rPr>
        <w:t>Delius</w:t>
      </w:r>
      <w:r w:rsidRPr="00214E8E">
        <w:rPr>
          <w:rFonts w:asciiTheme="majorHAnsi" w:eastAsia="Times New Roman" w:hAnsiTheme="majorHAnsi"/>
        </w:rPr>
        <w:t xml:space="preserve">, the first </w:t>
      </w:r>
      <w:r w:rsidR="00DA5AD9">
        <w:rPr>
          <w:rFonts w:asciiTheme="majorHAnsi" w:eastAsia="Times New Roman" w:hAnsiTheme="majorHAnsi"/>
        </w:rPr>
        <w:t xml:space="preserve">English language </w:t>
      </w:r>
      <w:r w:rsidR="00CF1365" w:rsidRPr="00214E8E">
        <w:rPr>
          <w:rFonts w:asciiTheme="majorHAnsi" w:eastAsia="Times New Roman" w:hAnsiTheme="majorHAnsi"/>
        </w:rPr>
        <w:t>book length study of</w:t>
      </w:r>
      <w:r w:rsidRPr="00214E8E">
        <w:rPr>
          <w:rFonts w:asciiTheme="majorHAnsi" w:eastAsia="Times New Roman" w:hAnsiTheme="majorHAnsi"/>
        </w:rPr>
        <w:t xml:space="preserve"> the composer, remains a wonderfully perceptive assessment of </w:t>
      </w:r>
      <w:r w:rsidR="00CF1365" w:rsidRPr="00214E8E">
        <w:rPr>
          <w:rFonts w:asciiTheme="majorHAnsi" w:eastAsia="Times New Roman" w:hAnsiTheme="majorHAnsi"/>
        </w:rPr>
        <w:t>the composer</w:t>
      </w:r>
      <w:r w:rsidR="005B01B6" w:rsidRPr="00214E8E">
        <w:rPr>
          <w:rFonts w:asciiTheme="majorHAnsi" w:eastAsia="Times New Roman" w:hAnsiTheme="majorHAnsi"/>
        </w:rPr>
        <w:t>’</w:t>
      </w:r>
      <w:r w:rsidR="00CF1365" w:rsidRPr="00214E8E">
        <w:rPr>
          <w:rFonts w:asciiTheme="majorHAnsi" w:eastAsia="Times New Roman" w:hAnsiTheme="majorHAnsi"/>
        </w:rPr>
        <w:t xml:space="preserve">s </w:t>
      </w:r>
      <w:r w:rsidRPr="00214E8E">
        <w:rPr>
          <w:rFonts w:asciiTheme="majorHAnsi" w:eastAsia="Times New Roman" w:hAnsiTheme="majorHAnsi"/>
        </w:rPr>
        <w:t>true worth</w:t>
      </w:r>
      <w:r w:rsidR="00DA5AD9">
        <w:rPr>
          <w:rFonts w:asciiTheme="majorHAnsi" w:eastAsia="Times New Roman" w:hAnsiTheme="majorHAnsi"/>
        </w:rPr>
        <w:t xml:space="preserve">. Eric Fenby described it as </w:t>
      </w:r>
      <w:r w:rsidR="00627074" w:rsidRPr="00214E8E">
        <w:rPr>
          <w:rFonts w:asciiTheme="majorHAnsi" w:eastAsia="Times New Roman" w:hAnsiTheme="majorHAnsi"/>
        </w:rPr>
        <w:t xml:space="preserve">an </w:t>
      </w:r>
      <w:r w:rsidR="005B01B6" w:rsidRPr="00214E8E">
        <w:rPr>
          <w:rFonts w:asciiTheme="majorHAnsi" w:eastAsia="Times New Roman" w:hAnsiTheme="majorHAnsi"/>
        </w:rPr>
        <w:t>“</w:t>
      </w:r>
      <w:r w:rsidRPr="00214E8E">
        <w:rPr>
          <w:rFonts w:asciiTheme="majorHAnsi" w:eastAsia="Times New Roman" w:hAnsiTheme="majorHAnsi"/>
        </w:rPr>
        <w:t>elegant exploratory</w:t>
      </w:r>
      <w:r w:rsidR="00627074" w:rsidRPr="00214E8E">
        <w:rPr>
          <w:rFonts w:asciiTheme="majorHAnsi" w:eastAsia="Times New Roman" w:hAnsiTheme="majorHAnsi"/>
        </w:rPr>
        <w:t xml:space="preserve"> book</w:t>
      </w:r>
      <w:r w:rsidR="005B01B6" w:rsidRPr="00214E8E">
        <w:rPr>
          <w:rFonts w:asciiTheme="majorHAnsi" w:eastAsia="Times New Roman" w:hAnsiTheme="majorHAnsi"/>
        </w:rPr>
        <w:t>”</w:t>
      </w:r>
      <w:r w:rsidR="002E2047" w:rsidRPr="00214E8E">
        <w:rPr>
          <w:rFonts w:asciiTheme="majorHAnsi" w:eastAsia="Times New Roman" w:hAnsiTheme="majorHAnsi"/>
        </w:rPr>
        <w:t>.</w:t>
      </w:r>
      <w:r w:rsidRPr="00214E8E">
        <w:rPr>
          <w:rStyle w:val="EndnoteReference"/>
          <w:rFonts w:asciiTheme="majorHAnsi" w:eastAsia="Times New Roman" w:hAnsiTheme="majorHAnsi"/>
        </w:rPr>
        <w:endnoteReference w:id="3"/>
      </w:r>
      <w:r w:rsidRPr="00214E8E">
        <w:rPr>
          <w:rFonts w:asciiTheme="majorHAnsi" w:eastAsia="Times New Roman" w:hAnsiTheme="majorHAnsi"/>
        </w:rPr>
        <w:t xml:space="preserve"> </w:t>
      </w:r>
      <w:r w:rsidR="002E2047" w:rsidRPr="00214E8E">
        <w:rPr>
          <w:rFonts w:asciiTheme="majorHAnsi" w:eastAsia="Times New Roman" w:hAnsiTheme="majorHAnsi"/>
        </w:rPr>
        <w:t xml:space="preserve">It is </w:t>
      </w:r>
      <w:r w:rsidRPr="00214E8E">
        <w:rPr>
          <w:rFonts w:asciiTheme="majorHAnsi" w:eastAsia="Times New Roman" w:hAnsiTheme="majorHAnsi"/>
        </w:rPr>
        <w:t xml:space="preserve">written from the perspective of a musician </w:t>
      </w:r>
      <w:r w:rsidR="00DA5AD9">
        <w:rPr>
          <w:rFonts w:asciiTheme="majorHAnsi" w:eastAsia="Times New Roman" w:hAnsiTheme="majorHAnsi"/>
        </w:rPr>
        <w:t xml:space="preserve">operating </w:t>
      </w:r>
      <w:r w:rsidRPr="00214E8E">
        <w:rPr>
          <w:rFonts w:asciiTheme="majorHAnsi" w:eastAsia="Times New Roman" w:hAnsiTheme="majorHAnsi"/>
        </w:rPr>
        <w:t>inside the composer</w:t>
      </w:r>
      <w:r w:rsidR="005B01B6" w:rsidRPr="00214E8E">
        <w:rPr>
          <w:rFonts w:asciiTheme="majorHAnsi" w:eastAsia="Times New Roman" w:hAnsiTheme="majorHAnsi"/>
        </w:rPr>
        <w:t>’</w:t>
      </w:r>
      <w:r w:rsidRPr="00214E8E">
        <w:rPr>
          <w:rFonts w:asciiTheme="majorHAnsi" w:eastAsia="Times New Roman" w:hAnsiTheme="majorHAnsi"/>
        </w:rPr>
        <w:t>s charmed</w:t>
      </w:r>
      <w:r w:rsidR="00167441" w:rsidRPr="00214E8E">
        <w:rPr>
          <w:rFonts w:asciiTheme="majorHAnsi" w:eastAsia="Times New Roman" w:hAnsiTheme="majorHAnsi"/>
        </w:rPr>
        <w:t xml:space="preserve"> inner</w:t>
      </w:r>
      <w:r w:rsidRPr="00214E8E">
        <w:rPr>
          <w:rFonts w:asciiTheme="majorHAnsi" w:eastAsia="Times New Roman" w:hAnsiTheme="majorHAnsi"/>
        </w:rPr>
        <w:t xml:space="preserve"> circle, </w:t>
      </w:r>
      <w:r w:rsidR="002E2047" w:rsidRPr="00214E8E">
        <w:rPr>
          <w:rFonts w:asciiTheme="majorHAnsi" w:eastAsia="Times New Roman" w:hAnsiTheme="majorHAnsi"/>
        </w:rPr>
        <w:t>is</w:t>
      </w:r>
      <w:r w:rsidRPr="00214E8E">
        <w:rPr>
          <w:rFonts w:asciiTheme="majorHAnsi" w:eastAsia="Times New Roman" w:hAnsiTheme="majorHAnsi"/>
        </w:rPr>
        <w:t xml:space="preserve"> rich in evocative </w:t>
      </w:r>
      <w:r w:rsidRPr="00214E8E">
        <w:rPr>
          <w:rFonts w:asciiTheme="majorHAnsi" w:eastAsia="Times New Roman" w:hAnsiTheme="majorHAnsi"/>
        </w:rPr>
        <w:lastRenderedPageBreak/>
        <w:t>descriptions and comparisons</w:t>
      </w:r>
      <w:r w:rsidR="00167441" w:rsidRPr="00214E8E">
        <w:rPr>
          <w:rFonts w:asciiTheme="majorHAnsi" w:eastAsia="Times New Roman" w:hAnsiTheme="majorHAnsi"/>
        </w:rPr>
        <w:t xml:space="preserve">, </w:t>
      </w:r>
      <w:r w:rsidR="002E2047" w:rsidRPr="00214E8E">
        <w:rPr>
          <w:rFonts w:asciiTheme="majorHAnsi" w:eastAsia="Times New Roman" w:hAnsiTheme="majorHAnsi"/>
        </w:rPr>
        <w:t xml:space="preserve">and </w:t>
      </w:r>
      <w:r w:rsidR="00167441" w:rsidRPr="00214E8E">
        <w:rPr>
          <w:rFonts w:asciiTheme="majorHAnsi" w:eastAsia="Times New Roman" w:hAnsiTheme="majorHAnsi"/>
        </w:rPr>
        <w:t>contains a penetrating analysis of the music</w:t>
      </w:r>
      <w:r w:rsidR="002E2047" w:rsidRPr="00214E8E">
        <w:rPr>
          <w:rFonts w:asciiTheme="majorHAnsi" w:eastAsia="Times New Roman" w:hAnsiTheme="majorHAnsi"/>
        </w:rPr>
        <w:t xml:space="preserve"> and its aesthetic – the spirit of Delius</w:t>
      </w:r>
      <w:r w:rsidR="00167441" w:rsidRPr="00214E8E">
        <w:rPr>
          <w:rFonts w:asciiTheme="majorHAnsi" w:eastAsia="Times New Roman" w:hAnsiTheme="majorHAnsi"/>
        </w:rPr>
        <w:t xml:space="preserve">. Remarkably, Heseltine manages to maintain a degree of critical distance from the music and its composer, and is not afraid to criticise works or aspects of works where he feels that they fail to live up to their </w:t>
      </w:r>
      <w:r w:rsidR="00DA5AD9">
        <w:rPr>
          <w:rFonts w:asciiTheme="majorHAnsi" w:eastAsia="Times New Roman" w:hAnsiTheme="majorHAnsi"/>
        </w:rPr>
        <w:t xml:space="preserve">proper </w:t>
      </w:r>
      <w:r w:rsidR="00167441" w:rsidRPr="00214E8E">
        <w:rPr>
          <w:rFonts w:asciiTheme="majorHAnsi" w:eastAsia="Times New Roman" w:hAnsiTheme="majorHAnsi"/>
        </w:rPr>
        <w:t>Delian potential</w:t>
      </w:r>
      <w:r w:rsidRPr="00214E8E">
        <w:rPr>
          <w:rFonts w:asciiTheme="majorHAnsi" w:eastAsia="Times New Roman" w:hAnsiTheme="majorHAnsi"/>
        </w:rPr>
        <w:t xml:space="preserve">. </w:t>
      </w:r>
      <w:r w:rsidR="00DA5AD9">
        <w:rPr>
          <w:rFonts w:asciiTheme="majorHAnsi" w:eastAsia="Times New Roman" w:hAnsiTheme="majorHAnsi"/>
        </w:rPr>
        <w:t>P</w:t>
      </w:r>
      <w:r w:rsidRPr="00214E8E">
        <w:rPr>
          <w:rFonts w:asciiTheme="majorHAnsi" w:eastAsia="Times New Roman" w:hAnsiTheme="majorHAnsi"/>
        </w:rPr>
        <w:t>ublished five years before Fenby entered Delius</w:t>
      </w:r>
      <w:r w:rsidR="005B01B6" w:rsidRPr="00214E8E">
        <w:rPr>
          <w:rFonts w:asciiTheme="majorHAnsi" w:eastAsia="Times New Roman" w:hAnsiTheme="majorHAnsi"/>
        </w:rPr>
        <w:t>’</w:t>
      </w:r>
      <w:r w:rsidRPr="00214E8E">
        <w:rPr>
          <w:rFonts w:asciiTheme="majorHAnsi" w:eastAsia="Times New Roman" w:hAnsiTheme="majorHAnsi"/>
        </w:rPr>
        <w:t xml:space="preserve"> </w:t>
      </w:r>
      <w:proofErr w:type="gramStart"/>
      <w:r w:rsidRPr="00214E8E">
        <w:rPr>
          <w:rFonts w:asciiTheme="majorHAnsi" w:eastAsia="Times New Roman" w:hAnsiTheme="majorHAnsi"/>
        </w:rPr>
        <w:t>life,</w:t>
      </w:r>
      <w:proofErr w:type="gramEnd"/>
      <w:r w:rsidRPr="00214E8E">
        <w:rPr>
          <w:rFonts w:asciiTheme="majorHAnsi" w:eastAsia="Times New Roman" w:hAnsiTheme="majorHAnsi"/>
        </w:rPr>
        <w:t xml:space="preserve"> </w:t>
      </w:r>
      <w:r w:rsidR="00DA5AD9">
        <w:rPr>
          <w:rFonts w:asciiTheme="majorHAnsi" w:eastAsia="Times New Roman" w:hAnsiTheme="majorHAnsi"/>
        </w:rPr>
        <w:t xml:space="preserve">the book </w:t>
      </w:r>
      <w:r w:rsidRPr="00214E8E">
        <w:rPr>
          <w:rFonts w:asciiTheme="majorHAnsi" w:eastAsia="Times New Roman" w:hAnsiTheme="majorHAnsi"/>
        </w:rPr>
        <w:t>would make for an interesting comparison with Fenby</w:t>
      </w:r>
      <w:r w:rsidR="005B01B6" w:rsidRPr="00214E8E">
        <w:rPr>
          <w:rFonts w:asciiTheme="majorHAnsi" w:eastAsia="Times New Roman" w:hAnsiTheme="majorHAnsi"/>
        </w:rPr>
        <w:t>’</w:t>
      </w:r>
      <w:r w:rsidRPr="00214E8E">
        <w:rPr>
          <w:rFonts w:asciiTheme="majorHAnsi" w:eastAsia="Times New Roman" w:hAnsiTheme="majorHAnsi"/>
        </w:rPr>
        <w:t xml:space="preserve">s </w:t>
      </w:r>
      <w:r w:rsidRPr="00214E8E">
        <w:rPr>
          <w:rFonts w:asciiTheme="majorHAnsi" w:eastAsia="Times New Roman" w:hAnsiTheme="majorHAnsi"/>
          <w:i/>
        </w:rPr>
        <w:t>Delius as I knew him</w:t>
      </w:r>
      <w:r w:rsidR="00DA5AD9">
        <w:rPr>
          <w:rFonts w:asciiTheme="majorHAnsi" w:eastAsia="Times New Roman" w:hAnsiTheme="majorHAnsi"/>
        </w:rPr>
        <w:t xml:space="preserve">, which was </w:t>
      </w:r>
      <w:r w:rsidRPr="00214E8E">
        <w:rPr>
          <w:rFonts w:asciiTheme="majorHAnsi" w:eastAsia="Times New Roman" w:hAnsiTheme="majorHAnsi"/>
        </w:rPr>
        <w:t>published after th</w:t>
      </w:r>
      <w:r w:rsidR="00422829" w:rsidRPr="00214E8E">
        <w:rPr>
          <w:rFonts w:asciiTheme="majorHAnsi" w:eastAsia="Times New Roman" w:hAnsiTheme="majorHAnsi"/>
        </w:rPr>
        <w:t>e composer</w:t>
      </w:r>
      <w:r w:rsidR="005B01B6" w:rsidRPr="00214E8E">
        <w:rPr>
          <w:rFonts w:asciiTheme="majorHAnsi" w:eastAsia="Times New Roman" w:hAnsiTheme="majorHAnsi"/>
        </w:rPr>
        <w:t>’</w:t>
      </w:r>
      <w:r w:rsidR="00422829" w:rsidRPr="00214E8E">
        <w:rPr>
          <w:rFonts w:asciiTheme="majorHAnsi" w:eastAsia="Times New Roman" w:hAnsiTheme="majorHAnsi"/>
        </w:rPr>
        <w:t xml:space="preserve">s death in 1936 as an act </w:t>
      </w:r>
      <w:r w:rsidR="00DA5AD9">
        <w:rPr>
          <w:rFonts w:asciiTheme="majorHAnsi" w:eastAsia="Times New Roman" w:hAnsiTheme="majorHAnsi"/>
        </w:rPr>
        <w:t xml:space="preserve">of exorcism. Their </w:t>
      </w:r>
      <w:r w:rsidRPr="00214E8E">
        <w:rPr>
          <w:rFonts w:asciiTheme="majorHAnsi" w:eastAsia="Times New Roman" w:hAnsiTheme="majorHAnsi"/>
        </w:rPr>
        <w:t>approaches to religious and metaphysical issues are quite different to Delius</w:t>
      </w:r>
      <w:r w:rsidR="005B01B6" w:rsidRPr="00214E8E">
        <w:rPr>
          <w:rFonts w:asciiTheme="majorHAnsi" w:eastAsia="Times New Roman" w:hAnsiTheme="majorHAnsi"/>
        </w:rPr>
        <w:t>’</w:t>
      </w:r>
      <w:r w:rsidRPr="00214E8E">
        <w:rPr>
          <w:rFonts w:asciiTheme="majorHAnsi" w:eastAsia="Times New Roman" w:hAnsiTheme="majorHAnsi"/>
        </w:rPr>
        <w:t xml:space="preserve"> own </w:t>
      </w:r>
      <w:r w:rsidR="002E2047" w:rsidRPr="00214E8E">
        <w:rPr>
          <w:rFonts w:asciiTheme="majorHAnsi" w:eastAsia="Times New Roman" w:hAnsiTheme="majorHAnsi"/>
        </w:rPr>
        <w:t xml:space="preserve">proclaimed atheism or paganism, </w:t>
      </w:r>
      <w:r w:rsidRPr="00214E8E">
        <w:rPr>
          <w:rFonts w:asciiTheme="majorHAnsi" w:eastAsia="Times New Roman" w:hAnsiTheme="majorHAnsi"/>
        </w:rPr>
        <w:t>Heseltine being a lit</w:t>
      </w:r>
      <w:r w:rsidR="002E2047" w:rsidRPr="00214E8E">
        <w:rPr>
          <w:rFonts w:asciiTheme="majorHAnsi" w:eastAsia="Times New Roman" w:hAnsiTheme="majorHAnsi"/>
        </w:rPr>
        <w:t>tle more sympathetic to the composer’s views than Fenby</w:t>
      </w:r>
      <w:r w:rsidRPr="00214E8E">
        <w:rPr>
          <w:rFonts w:asciiTheme="majorHAnsi" w:eastAsia="Times New Roman" w:hAnsiTheme="majorHAnsi"/>
        </w:rPr>
        <w:t>.</w:t>
      </w:r>
      <w:r w:rsidR="001F4506" w:rsidRPr="00214E8E">
        <w:rPr>
          <w:rFonts w:asciiTheme="majorHAnsi" w:eastAsia="Times New Roman" w:hAnsiTheme="majorHAnsi"/>
        </w:rPr>
        <w:t xml:space="preserve"> Heseltine had a lot to say about Delius</w:t>
      </w:r>
      <w:r w:rsidR="005B01B6" w:rsidRPr="00214E8E">
        <w:rPr>
          <w:rFonts w:asciiTheme="majorHAnsi" w:eastAsia="Times New Roman" w:hAnsiTheme="majorHAnsi"/>
        </w:rPr>
        <w:t>’</w:t>
      </w:r>
      <w:r w:rsidR="001F4506" w:rsidRPr="00214E8E">
        <w:rPr>
          <w:rFonts w:asciiTheme="majorHAnsi" w:eastAsia="Times New Roman" w:hAnsiTheme="majorHAnsi"/>
        </w:rPr>
        <w:t xml:space="preserve"> music over his short lifetime, as is clear from the collected texts in the special Heseltine issue of </w:t>
      </w:r>
      <w:r w:rsidR="001F4506" w:rsidRPr="00214E8E">
        <w:rPr>
          <w:rFonts w:asciiTheme="majorHAnsi" w:eastAsia="Times New Roman" w:hAnsiTheme="majorHAnsi"/>
          <w:i/>
        </w:rPr>
        <w:t>The Delius Society Journal</w:t>
      </w:r>
      <w:r w:rsidR="008A31EA" w:rsidRPr="00214E8E">
        <w:rPr>
          <w:rFonts w:asciiTheme="majorHAnsi" w:eastAsia="Times New Roman" w:hAnsiTheme="majorHAnsi"/>
        </w:rPr>
        <w:t>,</w:t>
      </w:r>
      <w:r w:rsidR="001F4506" w:rsidRPr="00214E8E">
        <w:rPr>
          <w:rStyle w:val="EndnoteReference"/>
          <w:rFonts w:asciiTheme="majorHAnsi" w:eastAsia="Times New Roman" w:hAnsiTheme="majorHAnsi"/>
        </w:rPr>
        <w:endnoteReference w:id="4"/>
      </w:r>
      <w:r w:rsidR="008A31EA" w:rsidRPr="00214E8E">
        <w:rPr>
          <w:rFonts w:asciiTheme="majorHAnsi" w:eastAsia="Times New Roman" w:hAnsiTheme="majorHAnsi"/>
        </w:rPr>
        <w:t xml:space="preserve"> and </w:t>
      </w:r>
      <w:r w:rsidR="00DA5AD9">
        <w:rPr>
          <w:rFonts w:asciiTheme="majorHAnsi" w:eastAsia="Times New Roman" w:hAnsiTheme="majorHAnsi"/>
        </w:rPr>
        <w:t xml:space="preserve">his </w:t>
      </w:r>
      <w:r w:rsidR="008A31EA" w:rsidRPr="00214E8E">
        <w:rPr>
          <w:rFonts w:asciiTheme="majorHAnsi" w:eastAsia="Times New Roman" w:hAnsiTheme="majorHAnsi"/>
        </w:rPr>
        <w:t xml:space="preserve">book </w:t>
      </w:r>
      <w:r w:rsidR="00DA5AD9">
        <w:rPr>
          <w:rFonts w:asciiTheme="majorHAnsi" w:eastAsia="Times New Roman" w:hAnsiTheme="majorHAnsi"/>
        </w:rPr>
        <w:t>remains</w:t>
      </w:r>
      <w:r w:rsidR="008A31EA" w:rsidRPr="00214E8E">
        <w:rPr>
          <w:rFonts w:asciiTheme="majorHAnsi" w:eastAsia="Times New Roman" w:hAnsiTheme="majorHAnsi"/>
        </w:rPr>
        <w:t xml:space="preserve"> a substantial </w:t>
      </w:r>
      <w:r w:rsidR="00167441" w:rsidRPr="00214E8E">
        <w:rPr>
          <w:rFonts w:asciiTheme="majorHAnsi" w:eastAsia="Times New Roman" w:hAnsiTheme="majorHAnsi"/>
        </w:rPr>
        <w:t xml:space="preserve">and meaningful </w:t>
      </w:r>
      <w:r w:rsidR="008A31EA" w:rsidRPr="00214E8E">
        <w:rPr>
          <w:rFonts w:asciiTheme="majorHAnsi" w:eastAsia="Times New Roman" w:hAnsiTheme="majorHAnsi"/>
        </w:rPr>
        <w:t>piece of work</w:t>
      </w:r>
      <w:r w:rsidR="00DA5AD9">
        <w:rPr>
          <w:rFonts w:asciiTheme="majorHAnsi" w:eastAsia="Times New Roman" w:hAnsiTheme="majorHAnsi"/>
        </w:rPr>
        <w:t xml:space="preserve"> – and a rewarding read</w:t>
      </w:r>
      <w:r w:rsidR="008A31EA" w:rsidRPr="00214E8E">
        <w:rPr>
          <w:rFonts w:asciiTheme="majorHAnsi" w:eastAsia="Times New Roman" w:hAnsiTheme="majorHAnsi"/>
        </w:rPr>
        <w:t>.</w:t>
      </w:r>
    </w:p>
    <w:p w:rsidR="008A31EA" w:rsidRPr="00214E8E" w:rsidRDefault="008A31EA" w:rsidP="00303A15">
      <w:pPr>
        <w:spacing w:line="480" w:lineRule="auto"/>
        <w:ind w:firstLine="720"/>
        <w:rPr>
          <w:rFonts w:asciiTheme="majorHAnsi" w:eastAsia="Times New Roman" w:hAnsiTheme="majorHAnsi"/>
        </w:rPr>
      </w:pPr>
      <w:r w:rsidRPr="00214E8E">
        <w:rPr>
          <w:rFonts w:asciiTheme="majorHAnsi" w:eastAsia="Times New Roman" w:hAnsiTheme="majorHAnsi"/>
        </w:rPr>
        <w:t xml:space="preserve">In the final chapter of </w:t>
      </w:r>
      <w:r w:rsidR="00DE7BBD" w:rsidRPr="00214E8E">
        <w:rPr>
          <w:rFonts w:asciiTheme="majorHAnsi" w:eastAsia="Times New Roman" w:hAnsiTheme="majorHAnsi"/>
        </w:rPr>
        <w:t>the</w:t>
      </w:r>
      <w:r w:rsidRPr="00214E8E">
        <w:rPr>
          <w:rFonts w:asciiTheme="majorHAnsi" w:eastAsia="Times New Roman" w:hAnsiTheme="majorHAnsi"/>
        </w:rPr>
        <w:t xml:space="preserve"> book, titled </w:t>
      </w:r>
      <w:r w:rsidR="005B01B6" w:rsidRPr="00214E8E">
        <w:rPr>
          <w:rFonts w:asciiTheme="majorHAnsi" w:eastAsia="Times New Roman" w:hAnsiTheme="majorHAnsi"/>
        </w:rPr>
        <w:t>‘</w:t>
      </w:r>
      <w:r w:rsidRPr="00214E8E">
        <w:rPr>
          <w:rFonts w:asciiTheme="majorHAnsi" w:eastAsia="Times New Roman" w:hAnsiTheme="majorHAnsi"/>
        </w:rPr>
        <w:t>The Music Viewed as a Whole</w:t>
      </w:r>
      <w:r w:rsidR="005B01B6" w:rsidRPr="00214E8E">
        <w:rPr>
          <w:rFonts w:asciiTheme="majorHAnsi" w:eastAsia="Times New Roman" w:hAnsiTheme="majorHAnsi"/>
        </w:rPr>
        <w:t>’</w:t>
      </w:r>
      <w:r w:rsidRPr="00214E8E">
        <w:rPr>
          <w:rFonts w:asciiTheme="majorHAnsi" w:eastAsia="Times New Roman" w:hAnsiTheme="majorHAnsi"/>
        </w:rPr>
        <w:t>, Heseltine writes of Delius</w:t>
      </w:r>
      <w:r w:rsidR="005B01B6" w:rsidRPr="00214E8E">
        <w:rPr>
          <w:rFonts w:asciiTheme="majorHAnsi" w:eastAsia="Times New Roman" w:hAnsiTheme="majorHAnsi"/>
        </w:rPr>
        <w:t>’</w:t>
      </w:r>
      <w:r w:rsidRPr="00214E8E">
        <w:rPr>
          <w:rFonts w:asciiTheme="majorHAnsi" w:eastAsia="Times New Roman" w:hAnsiTheme="majorHAnsi"/>
        </w:rPr>
        <w:t xml:space="preserve"> gradual development of </w:t>
      </w:r>
      <w:r w:rsidR="00167441" w:rsidRPr="00214E8E">
        <w:rPr>
          <w:rFonts w:asciiTheme="majorHAnsi" w:eastAsia="Times New Roman" w:hAnsiTheme="majorHAnsi"/>
        </w:rPr>
        <w:t xml:space="preserve">a personal style and approach to </w:t>
      </w:r>
      <w:r w:rsidRPr="00214E8E">
        <w:rPr>
          <w:rFonts w:asciiTheme="majorHAnsi" w:eastAsia="Times New Roman" w:hAnsiTheme="majorHAnsi"/>
        </w:rPr>
        <w:t xml:space="preserve">formal </w:t>
      </w:r>
      <w:r w:rsidR="00167441" w:rsidRPr="00214E8E">
        <w:rPr>
          <w:rFonts w:asciiTheme="majorHAnsi" w:eastAsia="Times New Roman" w:hAnsiTheme="majorHAnsi"/>
        </w:rPr>
        <w:t>procedure</w:t>
      </w:r>
      <w:r w:rsidR="003E128A" w:rsidRPr="00214E8E">
        <w:rPr>
          <w:rFonts w:asciiTheme="majorHAnsi" w:eastAsia="Times New Roman" w:hAnsiTheme="majorHAnsi"/>
        </w:rPr>
        <w:t xml:space="preserve">, a process of </w:t>
      </w:r>
      <w:r w:rsidR="005B01B6" w:rsidRPr="00214E8E">
        <w:rPr>
          <w:rFonts w:asciiTheme="majorHAnsi" w:eastAsia="Times New Roman" w:hAnsiTheme="majorHAnsi"/>
        </w:rPr>
        <w:t>“</w:t>
      </w:r>
      <w:r w:rsidR="003E128A" w:rsidRPr="00214E8E">
        <w:rPr>
          <w:rFonts w:asciiTheme="majorHAnsi" w:eastAsia="Times New Roman" w:hAnsiTheme="majorHAnsi"/>
        </w:rPr>
        <w:t>realisation, by experience and not in theory</w:t>
      </w:r>
      <w:r w:rsidR="005B01B6" w:rsidRPr="00214E8E">
        <w:rPr>
          <w:rFonts w:asciiTheme="majorHAnsi" w:eastAsia="Times New Roman" w:hAnsiTheme="majorHAnsi"/>
        </w:rPr>
        <w:t>”</w:t>
      </w:r>
      <w:r w:rsidR="002E2047" w:rsidRPr="00214E8E">
        <w:rPr>
          <w:rFonts w:asciiTheme="majorHAnsi" w:eastAsia="Times New Roman" w:hAnsiTheme="majorHAnsi"/>
        </w:rPr>
        <w:t>.</w:t>
      </w:r>
      <w:r w:rsidR="00F31AEC" w:rsidRPr="00214E8E">
        <w:rPr>
          <w:rFonts w:asciiTheme="majorHAnsi" w:eastAsia="Times New Roman" w:hAnsiTheme="majorHAnsi"/>
        </w:rPr>
        <w:t xml:space="preserve"> </w:t>
      </w:r>
      <w:r w:rsidR="002E2047" w:rsidRPr="00214E8E">
        <w:rPr>
          <w:rFonts w:asciiTheme="majorHAnsi" w:eastAsia="Times New Roman" w:hAnsiTheme="majorHAnsi"/>
        </w:rPr>
        <w:t>Through experience</w:t>
      </w:r>
      <w:r w:rsidR="003E128A" w:rsidRPr="00214E8E">
        <w:rPr>
          <w:rFonts w:asciiTheme="majorHAnsi" w:eastAsia="Times New Roman" w:hAnsiTheme="majorHAnsi"/>
        </w:rPr>
        <w:t xml:space="preserve"> the composer came to develop way</w:t>
      </w:r>
      <w:r w:rsidR="00167441" w:rsidRPr="00214E8E">
        <w:rPr>
          <w:rFonts w:asciiTheme="majorHAnsi" w:eastAsia="Times New Roman" w:hAnsiTheme="majorHAnsi"/>
        </w:rPr>
        <w:t>s of creating music that unfold</w:t>
      </w:r>
      <w:r w:rsidR="003E128A" w:rsidRPr="00214E8E">
        <w:rPr>
          <w:rFonts w:asciiTheme="majorHAnsi" w:eastAsia="Times New Roman" w:hAnsiTheme="majorHAnsi"/>
        </w:rPr>
        <w:t xml:space="preserve"> </w:t>
      </w:r>
      <w:r w:rsidR="00167441" w:rsidRPr="00214E8E">
        <w:rPr>
          <w:rFonts w:asciiTheme="majorHAnsi" w:eastAsia="Times New Roman" w:hAnsiTheme="majorHAnsi"/>
        </w:rPr>
        <w:t xml:space="preserve">not just </w:t>
      </w:r>
      <w:r w:rsidR="003E128A" w:rsidRPr="00214E8E">
        <w:rPr>
          <w:rFonts w:asciiTheme="majorHAnsi" w:eastAsia="Times New Roman" w:hAnsiTheme="majorHAnsi"/>
        </w:rPr>
        <w:t>formally</w:t>
      </w:r>
      <w:r w:rsidR="002E2047" w:rsidRPr="00214E8E">
        <w:rPr>
          <w:rFonts w:asciiTheme="majorHAnsi" w:eastAsia="Times New Roman" w:hAnsiTheme="majorHAnsi"/>
        </w:rPr>
        <w:t xml:space="preserve"> (or better: formalistically)</w:t>
      </w:r>
      <w:r w:rsidR="003E128A" w:rsidRPr="00214E8E">
        <w:rPr>
          <w:rFonts w:asciiTheme="majorHAnsi" w:eastAsia="Times New Roman" w:hAnsiTheme="majorHAnsi"/>
        </w:rPr>
        <w:t xml:space="preserve"> </w:t>
      </w:r>
      <w:r w:rsidR="00167441" w:rsidRPr="00214E8E">
        <w:rPr>
          <w:rFonts w:asciiTheme="majorHAnsi" w:eastAsia="Times New Roman" w:hAnsiTheme="majorHAnsi"/>
        </w:rPr>
        <w:t>but organically</w:t>
      </w:r>
      <w:r w:rsidR="00303A15" w:rsidRPr="00214E8E">
        <w:rPr>
          <w:rFonts w:asciiTheme="majorHAnsi" w:eastAsia="Times New Roman" w:hAnsiTheme="majorHAnsi"/>
        </w:rPr>
        <w:t>, motif by motif</w:t>
      </w:r>
      <w:r w:rsidR="002E2047" w:rsidRPr="00214E8E">
        <w:rPr>
          <w:rFonts w:asciiTheme="majorHAnsi" w:eastAsia="Times New Roman" w:hAnsiTheme="majorHAnsi"/>
        </w:rPr>
        <w:t>,</w:t>
      </w:r>
      <w:r w:rsidR="00167441" w:rsidRPr="00214E8E">
        <w:rPr>
          <w:rFonts w:asciiTheme="majorHAnsi" w:eastAsia="Times New Roman" w:hAnsiTheme="majorHAnsi"/>
        </w:rPr>
        <w:t xml:space="preserve"> </w:t>
      </w:r>
      <w:r w:rsidR="003E128A" w:rsidRPr="00214E8E">
        <w:rPr>
          <w:rFonts w:asciiTheme="majorHAnsi" w:eastAsia="Times New Roman" w:hAnsiTheme="majorHAnsi"/>
        </w:rPr>
        <w:t xml:space="preserve">out of its initial presentation, </w:t>
      </w:r>
      <w:r w:rsidR="005B01B6" w:rsidRPr="00214E8E">
        <w:rPr>
          <w:rFonts w:asciiTheme="majorHAnsi" w:eastAsia="Times New Roman" w:hAnsiTheme="majorHAnsi"/>
        </w:rPr>
        <w:t>“</w:t>
      </w:r>
      <w:r w:rsidR="003E128A" w:rsidRPr="00214E8E">
        <w:rPr>
          <w:rFonts w:asciiTheme="majorHAnsi" w:eastAsia="Times New Roman" w:hAnsiTheme="majorHAnsi"/>
        </w:rPr>
        <w:t>as the flower is latent in its seed</w:t>
      </w:r>
      <w:r w:rsidR="005B01B6" w:rsidRPr="00214E8E">
        <w:rPr>
          <w:rFonts w:asciiTheme="majorHAnsi" w:eastAsia="Times New Roman" w:hAnsiTheme="majorHAnsi"/>
        </w:rPr>
        <w:t>”</w:t>
      </w:r>
      <w:r w:rsidR="003E128A" w:rsidRPr="00214E8E">
        <w:rPr>
          <w:rFonts w:asciiTheme="majorHAnsi" w:eastAsia="Times New Roman" w:hAnsiTheme="majorHAnsi"/>
        </w:rPr>
        <w:t xml:space="preserve">. </w:t>
      </w:r>
      <w:r w:rsidR="005B01B6" w:rsidRPr="00214E8E">
        <w:rPr>
          <w:rFonts w:asciiTheme="majorHAnsi" w:eastAsia="Times New Roman" w:hAnsiTheme="majorHAnsi"/>
        </w:rPr>
        <w:t>“</w:t>
      </w:r>
      <w:r w:rsidR="003E128A" w:rsidRPr="00214E8E">
        <w:rPr>
          <w:rFonts w:asciiTheme="majorHAnsi" w:eastAsia="Times New Roman" w:hAnsiTheme="majorHAnsi"/>
        </w:rPr>
        <w:t>Thus</w:t>
      </w:r>
      <w:r w:rsidR="00DA5AD9">
        <w:rPr>
          <w:rFonts w:asciiTheme="majorHAnsi" w:eastAsia="Times New Roman" w:hAnsiTheme="majorHAnsi"/>
        </w:rPr>
        <w:t>”, says Heseltine,</w:t>
      </w:r>
      <w:r w:rsidR="003E128A" w:rsidRPr="00214E8E">
        <w:rPr>
          <w:rFonts w:asciiTheme="majorHAnsi" w:eastAsia="Times New Roman" w:hAnsiTheme="majorHAnsi"/>
        </w:rPr>
        <w:t xml:space="preserve"> </w:t>
      </w:r>
      <w:r w:rsidR="00DA5AD9">
        <w:rPr>
          <w:rFonts w:asciiTheme="majorHAnsi" w:eastAsia="Times New Roman" w:hAnsiTheme="majorHAnsi"/>
        </w:rPr>
        <w:t>“</w:t>
      </w:r>
      <w:r w:rsidR="003E128A" w:rsidRPr="00214E8E">
        <w:rPr>
          <w:rFonts w:asciiTheme="majorHAnsi" w:eastAsia="Times New Roman" w:hAnsiTheme="majorHAnsi"/>
        </w:rPr>
        <w:t xml:space="preserve">through formality he </w:t>
      </w:r>
      <w:r w:rsidR="00DA5AD9">
        <w:rPr>
          <w:rFonts w:asciiTheme="majorHAnsi" w:eastAsia="Times New Roman" w:hAnsiTheme="majorHAnsi"/>
        </w:rPr>
        <w:t xml:space="preserve">[Delius] </w:t>
      </w:r>
      <w:r w:rsidR="003E128A" w:rsidRPr="00214E8E">
        <w:rPr>
          <w:rFonts w:asciiTheme="majorHAnsi" w:eastAsia="Times New Roman" w:hAnsiTheme="majorHAnsi"/>
        </w:rPr>
        <w:t>attains to form.</w:t>
      </w:r>
      <w:r w:rsidR="005B01B6" w:rsidRPr="00214E8E">
        <w:rPr>
          <w:rFonts w:asciiTheme="majorHAnsi" w:eastAsia="Times New Roman" w:hAnsiTheme="majorHAnsi"/>
        </w:rPr>
        <w:t>”</w:t>
      </w:r>
      <w:r w:rsidR="003E128A" w:rsidRPr="00214E8E">
        <w:rPr>
          <w:rFonts w:asciiTheme="majorHAnsi" w:eastAsia="Times New Roman" w:hAnsiTheme="majorHAnsi"/>
        </w:rPr>
        <w:t xml:space="preserve"> </w:t>
      </w:r>
      <w:r w:rsidR="00167441" w:rsidRPr="00214E8E">
        <w:rPr>
          <w:rFonts w:asciiTheme="majorHAnsi" w:eastAsia="Times New Roman" w:hAnsiTheme="majorHAnsi"/>
        </w:rPr>
        <w:t xml:space="preserve">In this respect, Heseltine argues that in each work Delius must </w:t>
      </w:r>
      <w:r w:rsidR="002B5EBF" w:rsidRPr="00214E8E">
        <w:rPr>
          <w:rFonts w:asciiTheme="majorHAnsi" w:eastAsia="Times New Roman" w:hAnsiTheme="majorHAnsi"/>
        </w:rPr>
        <w:t xml:space="preserve">work </w:t>
      </w:r>
      <w:r w:rsidR="00167441" w:rsidRPr="00214E8E">
        <w:rPr>
          <w:rFonts w:asciiTheme="majorHAnsi" w:eastAsia="Times New Roman" w:hAnsiTheme="majorHAnsi"/>
        </w:rPr>
        <w:t xml:space="preserve">through </w:t>
      </w:r>
      <w:r w:rsidR="002E2047" w:rsidRPr="00214E8E">
        <w:rPr>
          <w:rFonts w:asciiTheme="majorHAnsi" w:eastAsia="Times New Roman" w:hAnsiTheme="majorHAnsi"/>
        </w:rPr>
        <w:t xml:space="preserve">the </w:t>
      </w:r>
      <w:r w:rsidR="00DA5AD9">
        <w:rPr>
          <w:rFonts w:asciiTheme="majorHAnsi" w:eastAsia="Times New Roman" w:hAnsiTheme="majorHAnsi"/>
        </w:rPr>
        <w:t xml:space="preserve">musical </w:t>
      </w:r>
      <w:r w:rsidR="002E2047" w:rsidRPr="00214E8E">
        <w:rPr>
          <w:rFonts w:asciiTheme="majorHAnsi" w:eastAsia="Times New Roman" w:hAnsiTheme="majorHAnsi"/>
        </w:rPr>
        <w:t xml:space="preserve">materials towards </w:t>
      </w:r>
      <w:r w:rsidR="00167441" w:rsidRPr="00214E8E">
        <w:rPr>
          <w:rFonts w:asciiTheme="majorHAnsi" w:eastAsia="Times New Roman" w:hAnsiTheme="majorHAnsi"/>
        </w:rPr>
        <w:t xml:space="preserve">a moment of self-transcendence in order to arrive at his true style; there </w:t>
      </w:r>
      <w:r w:rsidR="00DA5AD9">
        <w:rPr>
          <w:rFonts w:asciiTheme="majorHAnsi" w:eastAsia="Times New Roman" w:hAnsiTheme="majorHAnsi"/>
        </w:rPr>
        <w:t>is</w:t>
      </w:r>
      <w:r w:rsidR="00167441" w:rsidRPr="00214E8E">
        <w:rPr>
          <w:rFonts w:asciiTheme="majorHAnsi" w:eastAsia="Times New Roman" w:hAnsiTheme="majorHAnsi"/>
        </w:rPr>
        <w:t xml:space="preserve"> </w:t>
      </w:r>
      <w:r w:rsidR="002E2047" w:rsidRPr="00214E8E">
        <w:rPr>
          <w:rFonts w:asciiTheme="majorHAnsi" w:eastAsia="Times New Roman" w:hAnsiTheme="majorHAnsi"/>
        </w:rPr>
        <w:t xml:space="preserve">a </w:t>
      </w:r>
      <w:r w:rsidR="00DA5AD9">
        <w:rPr>
          <w:rFonts w:asciiTheme="majorHAnsi" w:eastAsia="Times New Roman" w:hAnsiTheme="majorHAnsi"/>
        </w:rPr>
        <w:t xml:space="preserve">loose </w:t>
      </w:r>
      <w:r w:rsidR="002E2047" w:rsidRPr="00214E8E">
        <w:rPr>
          <w:rFonts w:asciiTheme="majorHAnsi" w:eastAsia="Times New Roman" w:hAnsiTheme="majorHAnsi"/>
        </w:rPr>
        <w:t>resonance</w:t>
      </w:r>
      <w:r w:rsidR="00167441" w:rsidRPr="00214E8E">
        <w:rPr>
          <w:rFonts w:asciiTheme="majorHAnsi" w:eastAsia="Times New Roman" w:hAnsiTheme="majorHAnsi"/>
        </w:rPr>
        <w:t xml:space="preserve"> here with the </w:t>
      </w:r>
      <w:r w:rsidR="002E2047" w:rsidRPr="00214E8E">
        <w:rPr>
          <w:rFonts w:asciiTheme="majorHAnsi" w:eastAsia="Times New Roman" w:hAnsiTheme="majorHAnsi"/>
        </w:rPr>
        <w:t xml:space="preserve">concept of </w:t>
      </w:r>
      <w:r w:rsidR="005B01B6" w:rsidRPr="00214E8E">
        <w:rPr>
          <w:rFonts w:asciiTheme="majorHAnsi" w:eastAsia="Times New Roman" w:hAnsiTheme="majorHAnsi"/>
        </w:rPr>
        <w:t>‘</w:t>
      </w:r>
      <w:r w:rsidR="00167441" w:rsidRPr="00214E8E">
        <w:rPr>
          <w:rFonts w:asciiTheme="majorHAnsi" w:eastAsia="Times New Roman" w:hAnsiTheme="majorHAnsi"/>
        </w:rPr>
        <w:t>estrangement</w:t>
      </w:r>
      <w:r w:rsidR="005B01B6" w:rsidRPr="00214E8E">
        <w:rPr>
          <w:rFonts w:asciiTheme="majorHAnsi" w:eastAsia="Times New Roman" w:hAnsiTheme="majorHAnsi"/>
        </w:rPr>
        <w:t>’</w:t>
      </w:r>
      <w:r w:rsidR="00167441" w:rsidRPr="00214E8E">
        <w:rPr>
          <w:rFonts w:asciiTheme="majorHAnsi" w:eastAsia="Times New Roman" w:hAnsiTheme="majorHAnsi"/>
        </w:rPr>
        <w:t xml:space="preserve"> familiar from Russian Formalism, by which the world is discovered anew at a renewed perceptual level. </w:t>
      </w:r>
      <w:r w:rsidR="008C1CB6" w:rsidRPr="00214E8E">
        <w:rPr>
          <w:rFonts w:asciiTheme="majorHAnsi" w:eastAsia="Times New Roman" w:hAnsiTheme="majorHAnsi"/>
        </w:rPr>
        <w:t xml:space="preserve">Aside from identifying and discussing </w:t>
      </w:r>
      <w:proofErr w:type="gramStart"/>
      <w:r w:rsidR="008C1CB6" w:rsidRPr="00214E8E">
        <w:rPr>
          <w:rFonts w:asciiTheme="majorHAnsi" w:eastAsia="Times New Roman" w:hAnsiTheme="majorHAnsi"/>
        </w:rPr>
        <w:t>a panoply</w:t>
      </w:r>
      <w:proofErr w:type="gramEnd"/>
      <w:r w:rsidR="008C1CB6" w:rsidRPr="00214E8E">
        <w:rPr>
          <w:rFonts w:asciiTheme="majorHAnsi" w:eastAsia="Times New Roman" w:hAnsiTheme="majorHAnsi"/>
        </w:rPr>
        <w:t xml:space="preserve"> of cross-references between various scores</w:t>
      </w:r>
      <w:r w:rsidR="00DA5AD9">
        <w:rPr>
          <w:rFonts w:asciiTheme="majorHAnsi" w:eastAsia="Times New Roman" w:hAnsiTheme="majorHAnsi"/>
        </w:rPr>
        <w:t xml:space="preserve"> where materials are reused</w:t>
      </w:r>
      <w:r w:rsidR="008C1CB6" w:rsidRPr="00214E8E">
        <w:rPr>
          <w:rFonts w:asciiTheme="majorHAnsi" w:eastAsia="Times New Roman" w:hAnsiTheme="majorHAnsi"/>
        </w:rPr>
        <w:t xml:space="preserve">, </w:t>
      </w:r>
      <w:r w:rsidR="003E128A" w:rsidRPr="00214E8E">
        <w:rPr>
          <w:rFonts w:asciiTheme="majorHAnsi" w:eastAsia="Times New Roman" w:hAnsiTheme="majorHAnsi"/>
        </w:rPr>
        <w:t xml:space="preserve">Heseltine spends much time seeking out the secret of the </w:t>
      </w:r>
      <w:r w:rsidR="005B01B6" w:rsidRPr="00214E8E">
        <w:rPr>
          <w:rFonts w:asciiTheme="majorHAnsi" w:eastAsia="Times New Roman" w:hAnsiTheme="majorHAnsi"/>
        </w:rPr>
        <w:t>“</w:t>
      </w:r>
      <w:r w:rsidR="003E128A" w:rsidRPr="00214E8E">
        <w:rPr>
          <w:rFonts w:asciiTheme="majorHAnsi" w:eastAsia="Times New Roman" w:hAnsiTheme="majorHAnsi"/>
        </w:rPr>
        <w:t>inner vitality</w:t>
      </w:r>
      <w:r w:rsidR="005B01B6" w:rsidRPr="00214E8E">
        <w:rPr>
          <w:rFonts w:asciiTheme="majorHAnsi" w:eastAsia="Times New Roman" w:hAnsiTheme="majorHAnsi"/>
        </w:rPr>
        <w:t>”</w:t>
      </w:r>
      <w:r w:rsidR="003E128A" w:rsidRPr="00214E8E">
        <w:rPr>
          <w:rFonts w:asciiTheme="majorHAnsi" w:eastAsia="Times New Roman" w:hAnsiTheme="majorHAnsi"/>
        </w:rPr>
        <w:t xml:space="preserve"> of Delius</w:t>
      </w:r>
      <w:r w:rsidR="005B01B6" w:rsidRPr="00214E8E">
        <w:rPr>
          <w:rFonts w:asciiTheme="majorHAnsi" w:eastAsia="Times New Roman" w:hAnsiTheme="majorHAnsi"/>
        </w:rPr>
        <w:t>’</w:t>
      </w:r>
      <w:r w:rsidR="00DA5AD9">
        <w:rPr>
          <w:rFonts w:asciiTheme="majorHAnsi" w:eastAsia="Times New Roman" w:hAnsiTheme="majorHAnsi"/>
        </w:rPr>
        <w:t xml:space="preserve"> </w:t>
      </w:r>
      <w:r w:rsidR="00DA5AD9">
        <w:rPr>
          <w:rFonts w:asciiTheme="majorHAnsi" w:eastAsia="Times New Roman" w:hAnsiTheme="majorHAnsi"/>
        </w:rPr>
        <w:lastRenderedPageBreak/>
        <w:t>music. He finally locates</w:t>
      </w:r>
      <w:r w:rsidR="003E128A" w:rsidRPr="00214E8E">
        <w:rPr>
          <w:rFonts w:asciiTheme="majorHAnsi" w:eastAsia="Times New Roman" w:hAnsiTheme="majorHAnsi"/>
        </w:rPr>
        <w:t xml:space="preserve"> it in </w:t>
      </w:r>
      <w:r w:rsidR="00167441" w:rsidRPr="00214E8E">
        <w:rPr>
          <w:rFonts w:asciiTheme="majorHAnsi" w:eastAsia="Times New Roman" w:hAnsiTheme="majorHAnsi"/>
        </w:rPr>
        <w:t xml:space="preserve">a polyphony of a higher order, in a </w:t>
      </w:r>
      <w:r w:rsidR="005B01B6" w:rsidRPr="00214E8E">
        <w:rPr>
          <w:rFonts w:asciiTheme="majorHAnsi" w:eastAsia="Times New Roman" w:hAnsiTheme="majorHAnsi"/>
        </w:rPr>
        <w:t>“</w:t>
      </w:r>
      <w:r w:rsidR="003E128A" w:rsidRPr="00214E8E">
        <w:rPr>
          <w:rFonts w:asciiTheme="majorHAnsi" w:eastAsia="Times New Roman" w:hAnsiTheme="majorHAnsi"/>
        </w:rPr>
        <w:t>division of the harmonic web into these component strands of melody which are never parallel but subtly interwoven with one another, one rising where another falls</w:t>
      </w:r>
      <w:r w:rsidR="005B01B6" w:rsidRPr="00214E8E">
        <w:rPr>
          <w:rFonts w:asciiTheme="majorHAnsi" w:eastAsia="Times New Roman" w:hAnsiTheme="majorHAnsi"/>
        </w:rPr>
        <w:t>”</w:t>
      </w:r>
      <w:r w:rsidR="002E2047" w:rsidRPr="00214E8E">
        <w:rPr>
          <w:rFonts w:asciiTheme="majorHAnsi" w:eastAsia="Times New Roman" w:hAnsiTheme="majorHAnsi"/>
        </w:rPr>
        <w:t xml:space="preserve">. He summarises Delius’ musical </w:t>
      </w:r>
      <w:r w:rsidR="00A57281">
        <w:rPr>
          <w:rFonts w:asciiTheme="majorHAnsi" w:eastAsia="Times New Roman" w:hAnsiTheme="majorHAnsi"/>
        </w:rPr>
        <w:t xml:space="preserve">language </w:t>
      </w:r>
      <w:r w:rsidR="002E2047" w:rsidRPr="00214E8E">
        <w:rPr>
          <w:rFonts w:asciiTheme="majorHAnsi" w:eastAsia="Times New Roman" w:hAnsiTheme="majorHAnsi"/>
        </w:rPr>
        <w:t>as</w:t>
      </w:r>
      <w:r w:rsidR="00A57281">
        <w:rPr>
          <w:rFonts w:asciiTheme="majorHAnsi" w:eastAsia="Times New Roman" w:hAnsiTheme="majorHAnsi"/>
        </w:rPr>
        <w:t xml:space="preserve"> governed by</w:t>
      </w:r>
      <w:r w:rsidR="002E2047" w:rsidRPr="00214E8E">
        <w:rPr>
          <w:rFonts w:asciiTheme="majorHAnsi" w:eastAsia="Times New Roman" w:hAnsiTheme="majorHAnsi"/>
        </w:rPr>
        <w:t xml:space="preserve"> a </w:t>
      </w:r>
      <w:r w:rsidR="008C1CB6" w:rsidRPr="00214E8E">
        <w:rPr>
          <w:rFonts w:asciiTheme="majorHAnsi" w:eastAsia="Times New Roman" w:hAnsiTheme="majorHAnsi"/>
        </w:rPr>
        <w:t xml:space="preserve">Wordsworthian aesthetic of </w:t>
      </w:r>
      <w:r w:rsidR="005B01B6" w:rsidRPr="00214E8E">
        <w:rPr>
          <w:rFonts w:asciiTheme="majorHAnsi" w:eastAsia="Times New Roman" w:hAnsiTheme="majorHAnsi"/>
        </w:rPr>
        <w:t>“</w:t>
      </w:r>
      <w:r w:rsidR="008C1CB6" w:rsidRPr="00214E8E">
        <w:rPr>
          <w:rFonts w:asciiTheme="majorHAnsi" w:eastAsia="Times New Roman" w:hAnsiTheme="majorHAnsi"/>
          <w:i/>
        </w:rPr>
        <w:t>emotion recollected in tranquillity</w:t>
      </w:r>
      <w:r w:rsidR="003E128A" w:rsidRPr="00214E8E">
        <w:rPr>
          <w:rFonts w:asciiTheme="majorHAnsi" w:eastAsia="Times New Roman" w:hAnsiTheme="majorHAnsi"/>
        </w:rPr>
        <w:t>.</w:t>
      </w:r>
      <w:r w:rsidR="005B01B6" w:rsidRPr="00214E8E">
        <w:rPr>
          <w:rFonts w:asciiTheme="majorHAnsi" w:eastAsia="Times New Roman" w:hAnsiTheme="majorHAnsi"/>
        </w:rPr>
        <w:t>”</w:t>
      </w:r>
      <w:r w:rsidR="008C1CB6" w:rsidRPr="00214E8E">
        <w:rPr>
          <w:rFonts w:asciiTheme="majorHAnsi" w:eastAsia="Times New Roman" w:hAnsiTheme="majorHAnsi"/>
        </w:rPr>
        <w:t xml:space="preserve"> </w:t>
      </w:r>
      <w:r w:rsidR="00DE7BBD" w:rsidRPr="00214E8E">
        <w:rPr>
          <w:rFonts w:asciiTheme="majorHAnsi" w:eastAsia="Times New Roman" w:hAnsiTheme="majorHAnsi"/>
        </w:rPr>
        <w:t xml:space="preserve">This is in contrast to contemporary music, which is </w:t>
      </w:r>
      <w:r w:rsidR="005B01B6" w:rsidRPr="00214E8E">
        <w:rPr>
          <w:rFonts w:asciiTheme="majorHAnsi" w:eastAsia="Times New Roman" w:hAnsiTheme="majorHAnsi"/>
        </w:rPr>
        <w:t>“</w:t>
      </w:r>
      <w:r w:rsidR="00DE7BBD" w:rsidRPr="00214E8E">
        <w:rPr>
          <w:rFonts w:asciiTheme="majorHAnsi" w:eastAsia="Times New Roman" w:hAnsiTheme="majorHAnsi"/>
        </w:rPr>
        <w:t>impatient, unreflective, restless and impetuous</w:t>
      </w:r>
      <w:r w:rsidR="005B01B6" w:rsidRPr="00214E8E">
        <w:rPr>
          <w:rFonts w:asciiTheme="majorHAnsi" w:eastAsia="Times New Roman" w:hAnsiTheme="majorHAnsi"/>
        </w:rPr>
        <w:t>”</w:t>
      </w:r>
      <w:r w:rsidR="00DE7BBD" w:rsidRPr="00214E8E">
        <w:rPr>
          <w:rFonts w:asciiTheme="majorHAnsi" w:eastAsia="Times New Roman" w:hAnsiTheme="majorHAnsi"/>
        </w:rPr>
        <w:t>.</w:t>
      </w:r>
      <w:r w:rsidR="00DE7BBD" w:rsidRPr="00214E8E">
        <w:rPr>
          <w:rStyle w:val="EndnoteReference"/>
          <w:rFonts w:asciiTheme="majorHAnsi" w:eastAsia="Times New Roman" w:hAnsiTheme="majorHAnsi"/>
        </w:rPr>
        <w:endnoteReference w:id="5"/>
      </w:r>
    </w:p>
    <w:p w:rsidR="001F4506" w:rsidRPr="00214E8E" w:rsidRDefault="001F4506" w:rsidP="002B5EBF">
      <w:pPr>
        <w:spacing w:line="480" w:lineRule="auto"/>
        <w:ind w:firstLine="720"/>
        <w:rPr>
          <w:rFonts w:asciiTheme="majorHAnsi" w:eastAsia="Times New Roman" w:hAnsiTheme="majorHAnsi"/>
        </w:rPr>
      </w:pPr>
      <w:r w:rsidRPr="00214E8E">
        <w:rPr>
          <w:rFonts w:asciiTheme="majorHAnsi" w:eastAsia="Times New Roman" w:hAnsiTheme="majorHAnsi"/>
        </w:rPr>
        <w:t xml:space="preserve">Dyson for his part wrote a number of books and a personal memoir over the course of a long </w:t>
      </w:r>
      <w:r w:rsidR="00A57281">
        <w:rPr>
          <w:rFonts w:asciiTheme="majorHAnsi" w:eastAsia="Times New Roman" w:hAnsiTheme="majorHAnsi"/>
        </w:rPr>
        <w:t xml:space="preserve">and successful </w:t>
      </w:r>
      <w:r w:rsidRPr="00214E8E">
        <w:rPr>
          <w:rFonts w:asciiTheme="majorHAnsi" w:eastAsia="Times New Roman" w:hAnsiTheme="majorHAnsi"/>
        </w:rPr>
        <w:t xml:space="preserve">career. </w:t>
      </w:r>
      <w:r w:rsidRPr="00214E8E">
        <w:rPr>
          <w:rFonts w:asciiTheme="majorHAnsi" w:eastAsia="Times New Roman" w:hAnsiTheme="majorHAnsi"/>
          <w:i/>
        </w:rPr>
        <w:t>The New Music</w:t>
      </w:r>
      <w:r w:rsidRPr="00214E8E">
        <w:rPr>
          <w:rFonts w:asciiTheme="majorHAnsi" w:eastAsia="Times New Roman" w:hAnsiTheme="majorHAnsi"/>
        </w:rPr>
        <w:t xml:space="preserve"> was his second book, written while he was convalesc</w:t>
      </w:r>
      <w:r w:rsidR="002E2047" w:rsidRPr="00214E8E">
        <w:rPr>
          <w:rFonts w:asciiTheme="majorHAnsi" w:eastAsia="Times New Roman" w:hAnsiTheme="majorHAnsi"/>
        </w:rPr>
        <w:t>ing after the First World War; h</w:t>
      </w:r>
      <w:r w:rsidRPr="00214E8E">
        <w:rPr>
          <w:rFonts w:asciiTheme="majorHAnsi" w:eastAsia="Times New Roman" w:hAnsiTheme="majorHAnsi"/>
        </w:rPr>
        <w:t>is first book had been a short educational pa</w:t>
      </w:r>
      <w:r w:rsidR="002E2047" w:rsidRPr="00214E8E">
        <w:rPr>
          <w:rFonts w:asciiTheme="majorHAnsi" w:eastAsia="Times New Roman" w:hAnsiTheme="majorHAnsi"/>
        </w:rPr>
        <w:t>mphlet published while he was a serving</w:t>
      </w:r>
      <w:r w:rsidRPr="00214E8E">
        <w:rPr>
          <w:rFonts w:asciiTheme="majorHAnsi" w:eastAsia="Times New Roman" w:hAnsiTheme="majorHAnsi"/>
        </w:rPr>
        <w:t xml:space="preserve"> officer, </w:t>
      </w:r>
      <w:r w:rsidR="00F31AEC" w:rsidRPr="00214E8E">
        <w:rPr>
          <w:rFonts w:asciiTheme="majorHAnsi" w:eastAsia="Times New Roman" w:hAnsiTheme="majorHAnsi"/>
        </w:rPr>
        <w:t>with the title</w:t>
      </w:r>
      <w:r w:rsidRPr="00214E8E">
        <w:rPr>
          <w:rFonts w:asciiTheme="majorHAnsi" w:eastAsia="Times New Roman" w:hAnsiTheme="majorHAnsi"/>
        </w:rPr>
        <w:t xml:space="preserve"> </w:t>
      </w:r>
      <w:r w:rsidRPr="00214E8E">
        <w:rPr>
          <w:rFonts w:asciiTheme="majorHAnsi" w:eastAsia="Times New Roman" w:hAnsiTheme="majorHAnsi"/>
          <w:i/>
        </w:rPr>
        <w:t>Grenade Warfare</w:t>
      </w:r>
      <w:r w:rsidRPr="00214E8E">
        <w:rPr>
          <w:rFonts w:asciiTheme="majorHAnsi" w:eastAsia="Times New Roman" w:hAnsiTheme="majorHAnsi"/>
        </w:rPr>
        <w:t xml:space="preserve"> (1915). </w:t>
      </w:r>
      <w:r w:rsidRPr="00214E8E">
        <w:rPr>
          <w:rFonts w:asciiTheme="majorHAnsi" w:eastAsia="Times New Roman" w:hAnsiTheme="majorHAnsi"/>
          <w:i/>
        </w:rPr>
        <w:t>The New Music</w:t>
      </w:r>
      <w:r w:rsidRPr="00214E8E">
        <w:rPr>
          <w:rFonts w:asciiTheme="majorHAnsi" w:eastAsia="Times New Roman" w:hAnsiTheme="majorHAnsi"/>
        </w:rPr>
        <w:t xml:space="preserve"> was well received and influential for some time, judging by critical responses to it.</w:t>
      </w:r>
      <w:r w:rsidRPr="00214E8E">
        <w:rPr>
          <w:rStyle w:val="EndnoteReference"/>
          <w:rFonts w:asciiTheme="majorHAnsi" w:eastAsia="Times New Roman" w:hAnsiTheme="majorHAnsi"/>
        </w:rPr>
        <w:endnoteReference w:id="6"/>
      </w:r>
      <w:r w:rsidR="00A57281">
        <w:rPr>
          <w:rFonts w:asciiTheme="majorHAnsi" w:eastAsia="Times New Roman" w:hAnsiTheme="majorHAnsi"/>
        </w:rPr>
        <w:t xml:space="preserve"> For its time, it is</w:t>
      </w:r>
      <w:r w:rsidRPr="00214E8E">
        <w:rPr>
          <w:rFonts w:asciiTheme="majorHAnsi" w:eastAsia="Times New Roman" w:hAnsiTheme="majorHAnsi"/>
        </w:rPr>
        <w:t xml:space="preserve"> </w:t>
      </w:r>
      <w:r w:rsidR="00A57281">
        <w:rPr>
          <w:rFonts w:asciiTheme="majorHAnsi" w:eastAsia="Times New Roman" w:hAnsiTheme="majorHAnsi"/>
        </w:rPr>
        <w:t xml:space="preserve">an </w:t>
      </w:r>
      <w:r w:rsidRPr="00214E8E">
        <w:rPr>
          <w:rFonts w:asciiTheme="majorHAnsi" w:eastAsia="Times New Roman" w:hAnsiTheme="majorHAnsi"/>
        </w:rPr>
        <w:t>admirably non-partisan</w:t>
      </w:r>
      <w:r w:rsidR="00A57281">
        <w:rPr>
          <w:rFonts w:asciiTheme="majorHAnsi" w:eastAsia="Times New Roman" w:hAnsiTheme="majorHAnsi"/>
        </w:rPr>
        <w:t xml:space="preserve"> study</w:t>
      </w:r>
      <w:r w:rsidRPr="00214E8E">
        <w:rPr>
          <w:rFonts w:asciiTheme="majorHAnsi" w:eastAsia="Times New Roman" w:hAnsiTheme="majorHAnsi"/>
        </w:rPr>
        <w:t>, preferring to focus on problems of</w:t>
      </w:r>
      <w:r w:rsidR="00F31AEC" w:rsidRPr="00214E8E">
        <w:rPr>
          <w:rFonts w:asciiTheme="majorHAnsi" w:eastAsia="Times New Roman" w:hAnsiTheme="majorHAnsi"/>
        </w:rPr>
        <w:t xml:space="preserve"> artistic judgement as these </w:t>
      </w:r>
      <w:r w:rsidR="00A57281">
        <w:rPr>
          <w:rFonts w:asciiTheme="majorHAnsi" w:eastAsia="Times New Roman" w:hAnsiTheme="majorHAnsi"/>
        </w:rPr>
        <w:t xml:space="preserve">are </w:t>
      </w:r>
      <w:r w:rsidRPr="00214E8E">
        <w:rPr>
          <w:rFonts w:asciiTheme="majorHAnsi" w:eastAsia="Times New Roman" w:hAnsiTheme="majorHAnsi"/>
        </w:rPr>
        <w:t>thrown up by contemporary</w:t>
      </w:r>
      <w:r w:rsidR="002E2047" w:rsidRPr="00214E8E">
        <w:rPr>
          <w:rFonts w:asciiTheme="majorHAnsi" w:eastAsia="Times New Roman" w:hAnsiTheme="majorHAnsi"/>
        </w:rPr>
        <w:t xml:space="preserve"> music, and to highlight what Dyson</w:t>
      </w:r>
      <w:r w:rsidR="00A57281">
        <w:rPr>
          <w:rFonts w:asciiTheme="majorHAnsi" w:eastAsia="Times New Roman" w:hAnsiTheme="majorHAnsi"/>
        </w:rPr>
        <w:t xml:space="preserve"> believes</w:t>
      </w:r>
      <w:r w:rsidRPr="00214E8E">
        <w:rPr>
          <w:rFonts w:asciiTheme="majorHAnsi" w:eastAsia="Times New Roman" w:hAnsiTheme="majorHAnsi"/>
        </w:rPr>
        <w:t xml:space="preserve"> to be the </w:t>
      </w:r>
      <w:r w:rsidR="005B01B6" w:rsidRPr="00214E8E">
        <w:rPr>
          <w:rFonts w:asciiTheme="majorHAnsi" w:eastAsia="Times New Roman" w:hAnsiTheme="majorHAnsi"/>
        </w:rPr>
        <w:t>“</w:t>
      </w:r>
      <w:r w:rsidRPr="00214E8E">
        <w:rPr>
          <w:rFonts w:asciiTheme="majorHAnsi" w:eastAsia="Times New Roman" w:hAnsiTheme="majorHAnsi"/>
        </w:rPr>
        <w:t>futility of innovation which does not grow out of a living tradition</w:t>
      </w:r>
      <w:r w:rsidR="005B01B6" w:rsidRPr="00214E8E">
        <w:rPr>
          <w:rFonts w:asciiTheme="majorHAnsi" w:eastAsia="Times New Roman" w:hAnsiTheme="majorHAnsi"/>
        </w:rPr>
        <w:t>”</w:t>
      </w:r>
      <w:r w:rsidRPr="00214E8E">
        <w:rPr>
          <w:rFonts w:asciiTheme="majorHAnsi" w:eastAsia="Times New Roman" w:hAnsiTheme="majorHAnsi"/>
        </w:rPr>
        <w:t>.</w:t>
      </w:r>
      <w:r w:rsidRPr="00214E8E">
        <w:rPr>
          <w:rStyle w:val="EndnoteReference"/>
          <w:rFonts w:asciiTheme="majorHAnsi" w:eastAsia="Times New Roman" w:hAnsiTheme="majorHAnsi"/>
        </w:rPr>
        <w:endnoteReference w:id="7"/>
      </w:r>
      <w:r w:rsidRPr="00214E8E">
        <w:rPr>
          <w:rFonts w:asciiTheme="majorHAnsi" w:eastAsia="Times New Roman" w:hAnsiTheme="majorHAnsi"/>
        </w:rPr>
        <w:t xml:space="preserve"> </w:t>
      </w:r>
      <w:r w:rsidR="00F31AEC" w:rsidRPr="00214E8E">
        <w:rPr>
          <w:rFonts w:asciiTheme="majorHAnsi" w:eastAsia="Times New Roman" w:hAnsiTheme="majorHAnsi"/>
        </w:rPr>
        <w:t xml:space="preserve">As with Heseltine, </w:t>
      </w:r>
      <w:r w:rsidR="00A57281">
        <w:rPr>
          <w:rFonts w:asciiTheme="majorHAnsi" w:eastAsia="Times New Roman" w:hAnsiTheme="majorHAnsi"/>
        </w:rPr>
        <w:t>Dyson turns</w:t>
      </w:r>
      <w:r w:rsidR="00167441" w:rsidRPr="00214E8E">
        <w:rPr>
          <w:rFonts w:asciiTheme="majorHAnsi" w:eastAsia="Times New Roman" w:hAnsiTheme="majorHAnsi"/>
        </w:rPr>
        <w:t xml:space="preserve"> to </w:t>
      </w:r>
      <w:r w:rsidR="00F31AEC" w:rsidRPr="00214E8E">
        <w:rPr>
          <w:rFonts w:asciiTheme="majorHAnsi" w:eastAsia="Times New Roman" w:hAnsiTheme="majorHAnsi"/>
        </w:rPr>
        <w:t>organicist metaphor</w:t>
      </w:r>
      <w:r w:rsidR="00167441" w:rsidRPr="00214E8E">
        <w:rPr>
          <w:rFonts w:asciiTheme="majorHAnsi" w:eastAsia="Times New Roman" w:hAnsiTheme="majorHAnsi"/>
        </w:rPr>
        <w:t>s</w:t>
      </w:r>
      <w:r w:rsidR="00F31AEC" w:rsidRPr="00214E8E">
        <w:rPr>
          <w:rFonts w:asciiTheme="majorHAnsi" w:eastAsia="Times New Roman" w:hAnsiTheme="majorHAnsi"/>
        </w:rPr>
        <w:t xml:space="preserve"> </w:t>
      </w:r>
      <w:r w:rsidR="00167441" w:rsidRPr="00214E8E">
        <w:rPr>
          <w:rFonts w:asciiTheme="majorHAnsi" w:eastAsia="Times New Roman" w:hAnsiTheme="majorHAnsi"/>
        </w:rPr>
        <w:t xml:space="preserve">in order to account for change both at the internal level of </w:t>
      </w:r>
      <w:r w:rsidR="000D1D73" w:rsidRPr="00214E8E">
        <w:rPr>
          <w:rFonts w:asciiTheme="majorHAnsi" w:eastAsia="Times New Roman" w:hAnsiTheme="majorHAnsi"/>
        </w:rPr>
        <w:t xml:space="preserve">musical </w:t>
      </w:r>
      <w:r w:rsidR="00167441" w:rsidRPr="00214E8E">
        <w:rPr>
          <w:rFonts w:asciiTheme="majorHAnsi" w:eastAsia="Times New Roman" w:hAnsiTheme="majorHAnsi"/>
        </w:rPr>
        <w:t>syntax and the external level of historical process</w:t>
      </w:r>
      <w:r w:rsidR="000D1D73" w:rsidRPr="00214E8E">
        <w:rPr>
          <w:rFonts w:asciiTheme="majorHAnsi" w:eastAsia="Times New Roman" w:hAnsiTheme="majorHAnsi"/>
        </w:rPr>
        <w:t>.</w:t>
      </w:r>
      <w:r w:rsidR="00F31AEC" w:rsidRPr="00214E8E">
        <w:rPr>
          <w:rFonts w:asciiTheme="majorHAnsi" w:eastAsia="Times New Roman" w:hAnsiTheme="majorHAnsi"/>
        </w:rPr>
        <w:t xml:space="preserve"> </w:t>
      </w:r>
      <w:r w:rsidRPr="00214E8E">
        <w:rPr>
          <w:rFonts w:asciiTheme="majorHAnsi" w:eastAsia="Times New Roman" w:hAnsiTheme="majorHAnsi"/>
        </w:rPr>
        <w:t>This is in contrast to, say, Constant Lambert</w:t>
      </w:r>
      <w:r w:rsidR="005B01B6" w:rsidRPr="00214E8E">
        <w:rPr>
          <w:rFonts w:asciiTheme="majorHAnsi" w:eastAsia="Times New Roman" w:hAnsiTheme="majorHAnsi"/>
        </w:rPr>
        <w:t>’</w:t>
      </w:r>
      <w:r w:rsidRPr="00214E8E">
        <w:rPr>
          <w:rFonts w:asciiTheme="majorHAnsi" w:eastAsia="Times New Roman" w:hAnsiTheme="majorHAnsi"/>
        </w:rPr>
        <w:t xml:space="preserve">s </w:t>
      </w:r>
      <w:r w:rsidRPr="00214E8E">
        <w:rPr>
          <w:rFonts w:asciiTheme="majorHAnsi" w:eastAsia="Times New Roman" w:hAnsiTheme="majorHAnsi"/>
          <w:i/>
        </w:rPr>
        <w:t>Music Ho! A Study of Music in Decline</w:t>
      </w:r>
      <w:r w:rsidRPr="00214E8E">
        <w:rPr>
          <w:rFonts w:asciiTheme="majorHAnsi" w:eastAsia="Times New Roman" w:hAnsiTheme="majorHAnsi"/>
        </w:rPr>
        <w:t xml:space="preserve">, published barely a decade later (1934), </w:t>
      </w:r>
      <w:r w:rsidR="00F31AEC" w:rsidRPr="00214E8E">
        <w:rPr>
          <w:rFonts w:asciiTheme="majorHAnsi" w:eastAsia="Times New Roman" w:hAnsiTheme="majorHAnsi"/>
        </w:rPr>
        <w:t xml:space="preserve">which </w:t>
      </w:r>
      <w:r w:rsidR="00A57281">
        <w:rPr>
          <w:rFonts w:asciiTheme="majorHAnsi" w:eastAsia="Times New Roman" w:hAnsiTheme="majorHAnsi"/>
        </w:rPr>
        <w:t xml:space="preserve">is </w:t>
      </w:r>
      <w:r w:rsidRPr="00214E8E">
        <w:rPr>
          <w:rFonts w:asciiTheme="majorHAnsi" w:eastAsia="Times New Roman" w:hAnsiTheme="majorHAnsi"/>
        </w:rPr>
        <w:t xml:space="preserve">highly partisan and much more idiosyncratic, and </w:t>
      </w:r>
      <w:r w:rsidR="00F31AEC" w:rsidRPr="00214E8E">
        <w:rPr>
          <w:rFonts w:asciiTheme="majorHAnsi" w:eastAsia="Times New Roman" w:hAnsiTheme="majorHAnsi"/>
        </w:rPr>
        <w:t xml:space="preserve">in which Delius </w:t>
      </w:r>
      <w:r w:rsidR="00A57281">
        <w:rPr>
          <w:rFonts w:asciiTheme="majorHAnsi" w:eastAsia="Times New Roman" w:hAnsiTheme="majorHAnsi"/>
        </w:rPr>
        <w:t xml:space="preserve">is </w:t>
      </w:r>
      <w:r w:rsidRPr="00214E8E">
        <w:rPr>
          <w:rFonts w:asciiTheme="majorHAnsi" w:eastAsia="Times New Roman" w:hAnsiTheme="majorHAnsi"/>
        </w:rPr>
        <w:t xml:space="preserve">mentioned several times, but only ever in passing as an example of a stylistic trend or </w:t>
      </w:r>
      <w:r w:rsidR="001327A8" w:rsidRPr="00214E8E">
        <w:rPr>
          <w:rFonts w:asciiTheme="majorHAnsi" w:eastAsia="Times New Roman" w:hAnsiTheme="majorHAnsi"/>
        </w:rPr>
        <w:t xml:space="preserve">a </w:t>
      </w:r>
      <w:r w:rsidRPr="00214E8E">
        <w:rPr>
          <w:rFonts w:asciiTheme="majorHAnsi" w:eastAsia="Times New Roman" w:hAnsiTheme="majorHAnsi"/>
        </w:rPr>
        <w:t>compositional approach.</w:t>
      </w:r>
    </w:p>
    <w:p w:rsidR="00CB08A6" w:rsidRPr="00214E8E" w:rsidRDefault="00394BDF" w:rsidP="002B5EBF">
      <w:pPr>
        <w:spacing w:line="480" w:lineRule="auto"/>
        <w:ind w:firstLine="720"/>
        <w:rPr>
          <w:rFonts w:asciiTheme="majorHAnsi" w:eastAsia="Times New Roman" w:hAnsiTheme="majorHAnsi"/>
        </w:rPr>
      </w:pPr>
      <w:r w:rsidRPr="00214E8E">
        <w:rPr>
          <w:rFonts w:asciiTheme="majorHAnsi" w:eastAsia="Times New Roman" w:hAnsiTheme="majorHAnsi"/>
        </w:rPr>
        <w:t xml:space="preserve">We </w:t>
      </w:r>
      <w:r w:rsidR="005A0455" w:rsidRPr="00214E8E">
        <w:rPr>
          <w:rFonts w:asciiTheme="majorHAnsi" w:eastAsia="Times New Roman" w:hAnsiTheme="majorHAnsi"/>
        </w:rPr>
        <w:t xml:space="preserve">might </w:t>
      </w:r>
      <w:r w:rsidR="00F31AEC" w:rsidRPr="00214E8E">
        <w:rPr>
          <w:rFonts w:asciiTheme="majorHAnsi" w:eastAsia="Times New Roman" w:hAnsiTheme="majorHAnsi"/>
        </w:rPr>
        <w:t xml:space="preserve">reasonably </w:t>
      </w:r>
      <w:r w:rsidR="005A0455" w:rsidRPr="00214E8E">
        <w:rPr>
          <w:rFonts w:asciiTheme="majorHAnsi" w:eastAsia="Times New Roman" w:hAnsiTheme="majorHAnsi"/>
        </w:rPr>
        <w:t>not expect to find Delius occupying centre sta</w:t>
      </w:r>
      <w:r w:rsidRPr="00214E8E">
        <w:rPr>
          <w:rFonts w:asciiTheme="majorHAnsi" w:eastAsia="Times New Roman" w:hAnsiTheme="majorHAnsi"/>
        </w:rPr>
        <w:t xml:space="preserve">ge in a book about </w:t>
      </w:r>
      <w:r w:rsidR="005B01B6" w:rsidRPr="00214E8E">
        <w:rPr>
          <w:rFonts w:asciiTheme="majorHAnsi" w:eastAsia="Times New Roman" w:hAnsiTheme="majorHAnsi"/>
        </w:rPr>
        <w:t>‘</w:t>
      </w:r>
      <w:r w:rsidRPr="00214E8E">
        <w:rPr>
          <w:rFonts w:asciiTheme="majorHAnsi" w:eastAsia="Times New Roman" w:hAnsiTheme="majorHAnsi"/>
        </w:rPr>
        <w:t>new</w:t>
      </w:r>
      <w:r w:rsidR="005B01B6" w:rsidRPr="00214E8E">
        <w:rPr>
          <w:rFonts w:asciiTheme="majorHAnsi" w:eastAsia="Times New Roman" w:hAnsiTheme="majorHAnsi"/>
        </w:rPr>
        <w:t>’</w:t>
      </w:r>
      <w:r w:rsidRPr="00214E8E">
        <w:rPr>
          <w:rFonts w:asciiTheme="majorHAnsi" w:eastAsia="Times New Roman" w:hAnsiTheme="majorHAnsi"/>
        </w:rPr>
        <w:t xml:space="preserve"> music</w:t>
      </w:r>
      <w:r w:rsidR="00B17ECD" w:rsidRPr="00214E8E">
        <w:rPr>
          <w:rFonts w:asciiTheme="majorHAnsi" w:eastAsia="Times New Roman" w:hAnsiTheme="majorHAnsi"/>
        </w:rPr>
        <w:t xml:space="preserve"> (even before Adorno appropriated the term</w:t>
      </w:r>
      <w:r w:rsidR="007B11AB" w:rsidRPr="00214E8E">
        <w:rPr>
          <w:rFonts w:asciiTheme="majorHAnsi" w:eastAsia="Times New Roman" w:hAnsiTheme="majorHAnsi"/>
        </w:rPr>
        <w:t xml:space="preserve"> </w:t>
      </w:r>
      <w:r w:rsidR="005B01B6" w:rsidRPr="00214E8E">
        <w:rPr>
          <w:rFonts w:asciiTheme="majorHAnsi" w:eastAsia="Times New Roman" w:hAnsiTheme="majorHAnsi"/>
        </w:rPr>
        <w:t>‘</w:t>
      </w:r>
      <w:r w:rsidR="007B11AB" w:rsidRPr="00214E8E">
        <w:rPr>
          <w:rFonts w:asciiTheme="majorHAnsi" w:eastAsia="Times New Roman" w:hAnsiTheme="majorHAnsi"/>
        </w:rPr>
        <w:t>new</w:t>
      </w:r>
      <w:r w:rsidR="005B01B6" w:rsidRPr="00214E8E">
        <w:rPr>
          <w:rFonts w:asciiTheme="majorHAnsi" w:eastAsia="Times New Roman" w:hAnsiTheme="majorHAnsi"/>
        </w:rPr>
        <w:t>’</w:t>
      </w:r>
      <w:r w:rsidR="00B17ECD" w:rsidRPr="00214E8E">
        <w:rPr>
          <w:rFonts w:asciiTheme="majorHAnsi" w:eastAsia="Times New Roman" w:hAnsiTheme="majorHAnsi"/>
        </w:rPr>
        <w:t>)</w:t>
      </w:r>
      <w:r w:rsidRPr="00214E8E">
        <w:rPr>
          <w:rFonts w:asciiTheme="majorHAnsi" w:eastAsia="Times New Roman" w:hAnsiTheme="majorHAnsi"/>
        </w:rPr>
        <w:t xml:space="preserve">. Indeed, </w:t>
      </w:r>
      <w:r w:rsidR="005A0455" w:rsidRPr="00214E8E">
        <w:rPr>
          <w:rFonts w:asciiTheme="majorHAnsi" w:eastAsia="Times New Roman" w:hAnsiTheme="majorHAnsi"/>
        </w:rPr>
        <w:t xml:space="preserve">there is </w:t>
      </w:r>
      <w:r w:rsidR="001F4506" w:rsidRPr="00214E8E">
        <w:rPr>
          <w:rFonts w:asciiTheme="majorHAnsi" w:eastAsia="Times New Roman" w:hAnsiTheme="majorHAnsi"/>
        </w:rPr>
        <w:t xml:space="preserve">only </w:t>
      </w:r>
      <w:r w:rsidR="005A0455" w:rsidRPr="00214E8E">
        <w:rPr>
          <w:rFonts w:asciiTheme="majorHAnsi" w:eastAsia="Times New Roman" w:hAnsiTheme="majorHAnsi"/>
        </w:rPr>
        <w:t xml:space="preserve">a single score example </w:t>
      </w:r>
      <w:r w:rsidR="00A57281">
        <w:rPr>
          <w:rFonts w:asciiTheme="majorHAnsi" w:eastAsia="Times New Roman" w:hAnsiTheme="majorHAnsi"/>
        </w:rPr>
        <w:t xml:space="preserve">from Delius’ music </w:t>
      </w:r>
      <w:r w:rsidR="007B11AB" w:rsidRPr="00214E8E">
        <w:rPr>
          <w:rFonts w:asciiTheme="majorHAnsi" w:eastAsia="Times New Roman" w:hAnsiTheme="majorHAnsi"/>
        </w:rPr>
        <w:t xml:space="preserve">excerpted </w:t>
      </w:r>
      <w:r w:rsidR="005B01B6" w:rsidRPr="00214E8E">
        <w:rPr>
          <w:rFonts w:asciiTheme="majorHAnsi" w:eastAsia="Times New Roman" w:hAnsiTheme="majorHAnsi"/>
        </w:rPr>
        <w:t>in the book,</w:t>
      </w:r>
      <w:r w:rsidR="00167441" w:rsidRPr="00214E8E">
        <w:rPr>
          <w:rFonts w:asciiTheme="majorHAnsi" w:eastAsia="Times New Roman" w:hAnsiTheme="majorHAnsi"/>
        </w:rPr>
        <w:t xml:space="preserve"> </w:t>
      </w:r>
      <w:r w:rsidR="005A0455" w:rsidRPr="00214E8E">
        <w:rPr>
          <w:rFonts w:asciiTheme="majorHAnsi" w:eastAsia="Times New Roman" w:hAnsiTheme="majorHAnsi"/>
        </w:rPr>
        <w:t>the Dance for Harpsichord</w:t>
      </w:r>
      <w:r w:rsidR="00167441" w:rsidRPr="00214E8E">
        <w:rPr>
          <w:rFonts w:asciiTheme="majorHAnsi" w:eastAsia="Times New Roman" w:hAnsiTheme="majorHAnsi"/>
        </w:rPr>
        <w:t xml:space="preserve"> (1919)</w:t>
      </w:r>
      <w:r w:rsidR="005B01B6" w:rsidRPr="00214E8E">
        <w:rPr>
          <w:rFonts w:asciiTheme="majorHAnsi" w:eastAsia="Times New Roman" w:hAnsiTheme="majorHAnsi"/>
        </w:rPr>
        <w:t>,</w:t>
      </w:r>
      <w:r w:rsidR="001F4506" w:rsidRPr="00214E8E">
        <w:rPr>
          <w:rStyle w:val="EndnoteReference"/>
          <w:rFonts w:asciiTheme="majorHAnsi" w:eastAsia="Times New Roman" w:hAnsiTheme="majorHAnsi"/>
        </w:rPr>
        <w:endnoteReference w:id="8"/>
      </w:r>
      <w:r w:rsidR="005B01B6" w:rsidRPr="00214E8E">
        <w:rPr>
          <w:rFonts w:asciiTheme="majorHAnsi" w:eastAsia="Times New Roman" w:hAnsiTheme="majorHAnsi"/>
        </w:rPr>
        <w:t xml:space="preserve"> and why this particular work </w:t>
      </w:r>
      <w:r w:rsidR="00A57281">
        <w:rPr>
          <w:rFonts w:asciiTheme="majorHAnsi" w:eastAsia="Times New Roman" w:hAnsiTheme="majorHAnsi"/>
        </w:rPr>
        <w:t xml:space="preserve">might have been </w:t>
      </w:r>
      <w:r w:rsidR="005B01B6" w:rsidRPr="00214E8E">
        <w:rPr>
          <w:rFonts w:asciiTheme="majorHAnsi" w:eastAsia="Times New Roman" w:hAnsiTheme="majorHAnsi"/>
        </w:rPr>
        <w:t>chosen is unclear</w:t>
      </w:r>
      <w:r w:rsidR="000D1D73" w:rsidRPr="00214E8E">
        <w:rPr>
          <w:rFonts w:asciiTheme="majorHAnsi" w:eastAsia="Times New Roman" w:hAnsiTheme="majorHAnsi"/>
        </w:rPr>
        <w:t xml:space="preserve">, </w:t>
      </w:r>
      <w:r w:rsidR="000D1D73" w:rsidRPr="00214E8E">
        <w:rPr>
          <w:rFonts w:asciiTheme="majorHAnsi" w:eastAsia="Times New Roman" w:hAnsiTheme="majorHAnsi"/>
        </w:rPr>
        <w:lastRenderedPageBreak/>
        <w:t>other than for the simp</w:t>
      </w:r>
      <w:r w:rsidR="00A57281">
        <w:rPr>
          <w:rFonts w:asciiTheme="majorHAnsi" w:eastAsia="Times New Roman" w:hAnsiTheme="majorHAnsi"/>
        </w:rPr>
        <w:t>le fact that its two staves made it a relatively</w:t>
      </w:r>
      <w:r w:rsidR="000D1D73" w:rsidRPr="00214E8E">
        <w:rPr>
          <w:rFonts w:asciiTheme="majorHAnsi" w:eastAsia="Times New Roman" w:hAnsiTheme="majorHAnsi"/>
        </w:rPr>
        <w:t xml:space="preserve"> easy target for discussion</w:t>
      </w:r>
      <w:r w:rsidR="00A57281">
        <w:rPr>
          <w:rFonts w:asciiTheme="majorHAnsi" w:eastAsia="Times New Roman" w:hAnsiTheme="majorHAnsi"/>
        </w:rPr>
        <w:t xml:space="preserve"> of harmony</w:t>
      </w:r>
      <w:r w:rsidR="005B01B6" w:rsidRPr="00214E8E">
        <w:rPr>
          <w:rFonts w:asciiTheme="majorHAnsi" w:eastAsia="Times New Roman" w:hAnsiTheme="majorHAnsi"/>
        </w:rPr>
        <w:t>.</w:t>
      </w:r>
      <w:r w:rsidR="005A0455" w:rsidRPr="00214E8E">
        <w:rPr>
          <w:rFonts w:asciiTheme="majorHAnsi" w:eastAsia="Times New Roman" w:hAnsiTheme="majorHAnsi"/>
        </w:rPr>
        <w:t xml:space="preserve"> </w:t>
      </w:r>
      <w:r w:rsidR="007B11AB" w:rsidRPr="00214E8E">
        <w:rPr>
          <w:rFonts w:asciiTheme="majorHAnsi" w:eastAsia="Times New Roman" w:hAnsiTheme="majorHAnsi"/>
        </w:rPr>
        <w:t>T</w:t>
      </w:r>
      <w:r w:rsidR="005A0455" w:rsidRPr="00214E8E">
        <w:rPr>
          <w:rFonts w:asciiTheme="majorHAnsi" w:eastAsia="Times New Roman" w:hAnsiTheme="majorHAnsi"/>
        </w:rPr>
        <w:t xml:space="preserve">he majority of </w:t>
      </w:r>
      <w:r w:rsidR="000D1D73" w:rsidRPr="00214E8E">
        <w:rPr>
          <w:rFonts w:asciiTheme="majorHAnsi" w:eastAsia="Times New Roman" w:hAnsiTheme="majorHAnsi"/>
        </w:rPr>
        <w:t xml:space="preserve">Dyson’s score </w:t>
      </w:r>
      <w:r w:rsidR="005A0455" w:rsidRPr="00214E8E">
        <w:rPr>
          <w:rFonts w:asciiTheme="majorHAnsi" w:eastAsia="Times New Roman" w:hAnsiTheme="majorHAnsi"/>
        </w:rPr>
        <w:t xml:space="preserve">examples </w:t>
      </w:r>
      <w:r w:rsidR="007B11AB" w:rsidRPr="00214E8E">
        <w:rPr>
          <w:rFonts w:asciiTheme="majorHAnsi" w:eastAsia="Times New Roman" w:hAnsiTheme="majorHAnsi"/>
        </w:rPr>
        <w:t xml:space="preserve">naturally </w:t>
      </w:r>
      <w:r w:rsidR="001F4506" w:rsidRPr="00214E8E">
        <w:rPr>
          <w:rFonts w:asciiTheme="majorHAnsi" w:eastAsia="Times New Roman" w:hAnsiTheme="majorHAnsi"/>
        </w:rPr>
        <w:t xml:space="preserve">come </w:t>
      </w:r>
      <w:r w:rsidR="005A0455" w:rsidRPr="00214E8E">
        <w:rPr>
          <w:rFonts w:asciiTheme="majorHAnsi" w:eastAsia="Times New Roman" w:hAnsiTheme="majorHAnsi"/>
        </w:rPr>
        <w:t xml:space="preserve">from Stravinsky, Debussy, Bartok, </w:t>
      </w:r>
      <w:r w:rsidR="001F4506" w:rsidRPr="00214E8E">
        <w:rPr>
          <w:rFonts w:asciiTheme="majorHAnsi" w:eastAsia="Times New Roman" w:hAnsiTheme="majorHAnsi"/>
        </w:rPr>
        <w:t xml:space="preserve">Strauss, Scriabin, </w:t>
      </w:r>
      <w:r w:rsidR="005A0455" w:rsidRPr="00214E8E">
        <w:rPr>
          <w:rFonts w:asciiTheme="majorHAnsi" w:eastAsia="Times New Roman" w:hAnsiTheme="majorHAnsi"/>
        </w:rPr>
        <w:t>Elgar, Vaughan Williams</w:t>
      </w:r>
      <w:r w:rsidR="00025F79" w:rsidRPr="00214E8E">
        <w:rPr>
          <w:rFonts w:asciiTheme="majorHAnsi" w:eastAsia="Times New Roman" w:hAnsiTheme="majorHAnsi"/>
        </w:rPr>
        <w:t>, Bax,</w:t>
      </w:r>
      <w:r w:rsidR="000D1D73" w:rsidRPr="00214E8E">
        <w:rPr>
          <w:rFonts w:asciiTheme="majorHAnsi" w:eastAsia="Times New Roman" w:hAnsiTheme="majorHAnsi"/>
        </w:rPr>
        <w:t xml:space="preserve"> and others.</w:t>
      </w:r>
      <w:r w:rsidR="00836733" w:rsidRPr="00214E8E">
        <w:rPr>
          <w:rFonts w:asciiTheme="majorHAnsi" w:eastAsia="Times New Roman" w:hAnsiTheme="majorHAnsi"/>
        </w:rPr>
        <w:t xml:space="preserve"> </w:t>
      </w:r>
      <w:r w:rsidR="00B17ECD" w:rsidRPr="00214E8E">
        <w:rPr>
          <w:rFonts w:asciiTheme="majorHAnsi" w:eastAsia="Times New Roman" w:hAnsiTheme="majorHAnsi"/>
        </w:rPr>
        <w:t xml:space="preserve">In this </w:t>
      </w:r>
      <w:r w:rsidR="00836733" w:rsidRPr="00214E8E">
        <w:rPr>
          <w:rFonts w:asciiTheme="majorHAnsi" w:eastAsia="Times New Roman" w:hAnsiTheme="majorHAnsi"/>
        </w:rPr>
        <w:t xml:space="preserve">broad artistic </w:t>
      </w:r>
      <w:r w:rsidR="00B17ECD" w:rsidRPr="00214E8E">
        <w:rPr>
          <w:rFonts w:asciiTheme="majorHAnsi" w:eastAsia="Times New Roman" w:hAnsiTheme="majorHAnsi"/>
        </w:rPr>
        <w:t>context, then</w:t>
      </w:r>
      <w:r w:rsidR="005A0455" w:rsidRPr="00214E8E">
        <w:rPr>
          <w:rFonts w:asciiTheme="majorHAnsi" w:eastAsia="Times New Roman" w:hAnsiTheme="majorHAnsi"/>
        </w:rPr>
        <w:t xml:space="preserve">, </w:t>
      </w:r>
      <w:r w:rsidRPr="00214E8E">
        <w:rPr>
          <w:rFonts w:asciiTheme="majorHAnsi" w:eastAsia="Times New Roman" w:hAnsiTheme="majorHAnsi"/>
        </w:rPr>
        <w:t xml:space="preserve">it is </w:t>
      </w:r>
      <w:r w:rsidR="00396644" w:rsidRPr="00214E8E">
        <w:rPr>
          <w:rFonts w:asciiTheme="majorHAnsi" w:eastAsia="Times New Roman" w:hAnsiTheme="majorHAnsi"/>
        </w:rPr>
        <w:t xml:space="preserve">a little surprising </w:t>
      </w:r>
      <w:r w:rsidRPr="00214E8E">
        <w:rPr>
          <w:rFonts w:asciiTheme="majorHAnsi" w:eastAsia="Times New Roman" w:hAnsiTheme="majorHAnsi"/>
        </w:rPr>
        <w:t xml:space="preserve">that </w:t>
      </w:r>
      <w:r w:rsidR="000D1D73" w:rsidRPr="00214E8E">
        <w:rPr>
          <w:rFonts w:asciiTheme="majorHAnsi" w:eastAsia="Times New Roman" w:hAnsiTheme="majorHAnsi"/>
        </w:rPr>
        <w:t xml:space="preserve">Dyson, </w:t>
      </w:r>
      <w:r w:rsidR="00025F79" w:rsidRPr="00214E8E">
        <w:rPr>
          <w:rFonts w:asciiTheme="majorHAnsi" w:eastAsia="Times New Roman" w:hAnsiTheme="majorHAnsi"/>
        </w:rPr>
        <w:t xml:space="preserve">who </w:t>
      </w:r>
      <w:r w:rsidR="005A0455" w:rsidRPr="00214E8E">
        <w:rPr>
          <w:rFonts w:asciiTheme="majorHAnsi" w:eastAsia="Times New Roman" w:hAnsiTheme="majorHAnsi"/>
        </w:rPr>
        <w:t xml:space="preserve">as a composer </w:t>
      </w:r>
      <w:r w:rsidR="00025F79" w:rsidRPr="00214E8E">
        <w:rPr>
          <w:rFonts w:asciiTheme="majorHAnsi" w:eastAsia="Times New Roman" w:hAnsiTheme="majorHAnsi"/>
        </w:rPr>
        <w:t xml:space="preserve">was </w:t>
      </w:r>
      <w:r w:rsidR="005A0455" w:rsidRPr="00214E8E">
        <w:rPr>
          <w:rFonts w:asciiTheme="majorHAnsi" w:eastAsia="Times New Roman" w:hAnsiTheme="majorHAnsi"/>
        </w:rPr>
        <w:t xml:space="preserve">himself </w:t>
      </w:r>
      <w:r w:rsidR="00396644" w:rsidRPr="00214E8E">
        <w:rPr>
          <w:rFonts w:asciiTheme="majorHAnsi" w:eastAsia="Times New Roman" w:hAnsiTheme="majorHAnsi"/>
        </w:rPr>
        <w:t>more</w:t>
      </w:r>
      <w:r w:rsidR="005A0455" w:rsidRPr="00214E8E">
        <w:rPr>
          <w:rFonts w:asciiTheme="majorHAnsi" w:eastAsia="Times New Roman" w:hAnsiTheme="majorHAnsi"/>
        </w:rPr>
        <w:t xml:space="preserve"> influenced by </w:t>
      </w:r>
      <w:r w:rsidR="00396644" w:rsidRPr="00214E8E">
        <w:rPr>
          <w:rFonts w:asciiTheme="majorHAnsi" w:eastAsia="Times New Roman" w:hAnsiTheme="majorHAnsi"/>
        </w:rPr>
        <w:t>Tchaikovsky, Rachmaninov, Strauss, and Sibelius</w:t>
      </w:r>
      <w:r w:rsidR="000D1D73" w:rsidRPr="00214E8E">
        <w:rPr>
          <w:rFonts w:asciiTheme="majorHAnsi" w:eastAsia="Times New Roman" w:hAnsiTheme="majorHAnsi"/>
        </w:rPr>
        <w:t>,</w:t>
      </w:r>
      <w:r w:rsidR="00396644" w:rsidRPr="00214E8E">
        <w:rPr>
          <w:rStyle w:val="EndnoteReference"/>
          <w:rFonts w:asciiTheme="majorHAnsi" w:eastAsia="Times New Roman" w:hAnsiTheme="majorHAnsi"/>
        </w:rPr>
        <w:endnoteReference w:id="9"/>
      </w:r>
      <w:r w:rsidR="005A0455" w:rsidRPr="00214E8E">
        <w:rPr>
          <w:rFonts w:asciiTheme="majorHAnsi" w:eastAsia="Times New Roman" w:hAnsiTheme="majorHAnsi"/>
        </w:rPr>
        <w:t xml:space="preserve"> </w:t>
      </w:r>
      <w:r w:rsidR="00396644" w:rsidRPr="00214E8E">
        <w:rPr>
          <w:rFonts w:asciiTheme="majorHAnsi" w:eastAsia="Times New Roman" w:hAnsiTheme="majorHAnsi"/>
        </w:rPr>
        <w:t xml:space="preserve">should be </w:t>
      </w:r>
      <w:r w:rsidR="00A57281">
        <w:rPr>
          <w:rFonts w:asciiTheme="majorHAnsi" w:eastAsia="Times New Roman" w:hAnsiTheme="majorHAnsi"/>
        </w:rPr>
        <w:t xml:space="preserve">somewhat </w:t>
      </w:r>
      <w:r w:rsidR="005A0455" w:rsidRPr="00214E8E">
        <w:rPr>
          <w:rFonts w:asciiTheme="majorHAnsi" w:eastAsia="Times New Roman" w:hAnsiTheme="majorHAnsi"/>
        </w:rPr>
        <w:t xml:space="preserve">distracted by </w:t>
      </w:r>
      <w:r w:rsidR="00025F79" w:rsidRPr="00214E8E">
        <w:rPr>
          <w:rFonts w:asciiTheme="majorHAnsi" w:eastAsia="Times New Roman" w:hAnsiTheme="majorHAnsi"/>
        </w:rPr>
        <w:t xml:space="preserve">the case of </w:t>
      </w:r>
      <w:r w:rsidR="005A0455" w:rsidRPr="00214E8E">
        <w:rPr>
          <w:rFonts w:asciiTheme="majorHAnsi" w:eastAsia="Times New Roman" w:hAnsiTheme="majorHAnsi"/>
        </w:rPr>
        <w:t xml:space="preserve">Delius </w:t>
      </w:r>
      <w:r w:rsidR="000D1D73" w:rsidRPr="00214E8E">
        <w:rPr>
          <w:rFonts w:asciiTheme="majorHAnsi" w:eastAsia="Times New Roman" w:hAnsiTheme="majorHAnsi"/>
        </w:rPr>
        <w:t>at the end of his final chapter. This final essay is</w:t>
      </w:r>
      <w:r w:rsidR="00025F79" w:rsidRPr="00214E8E">
        <w:rPr>
          <w:rFonts w:asciiTheme="majorHAnsi" w:eastAsia="Times New Roman" w:hAnsiTheme="majorHAnsi"/>
        </w:rPr>
        <w:t xml:space="preserve"> titled </w:t>
      </w:r>
      <w:r w:rsidR="005B01B6" w:rsidRPr="00214E8E">
        <w:rPr>
          <w:rFonts w:asciiTheme="majorHAnsi" w:eastAsia="Times New Roman" w:hAnsiTheme="majorHAnsi"/>
        </w:rPr>
        <w:t>‘</w:t>
      </w:r>
      <w:r w:rsidR="00025F79" w:rsidRPr="00214E8E">
        <w:rPr>
          <w:rFonts w:asciiTheme="majorHAnsi" w:eastAsia="Times New Roman" w:hAnsiTheme="majorHAnsi"/>
        </w:rPr>
        <w:t>The Problem of Architecture</w:t>
      </w:r>
      <w:r w:rsidR="005B01B6" w:rsidRPr="00214E8E">
        <w:rPr>
          <w:rFonts w:asciiTheme="majorHAnsi" w:eastAsia="Times New Roman" w:hAnsiTheme="majorHAnsi"/>
        </w:rPr>
        <w:t>’</w:t>
      </w:r>
      <w:r w:rsidR="00025F79" w:rsidRPr="00214E8E">
        <w:rPr>
          <w:rFonts w:asciiTheme="majorHAnsi" w:eastAsia="Times New Roman" w:hAnsiTheme="majorHAnsi"/>
        </w:rPr>
        <w:t xml:space="preserve">. Dyson </w:t>
      </w:r>
      <w:r w:rsidR="005A0455" w:rsidRPr="00214E8E">
        <w:rPr>
          <w:rFonts w:asciiTheme="majorHAnsi" w:eastAsia="Times New Roman" w:hAnsiTheme="majorHAnsi"/>
        </w:rPr>
        <w:t>devote</w:t>
      </w:r>
      <w:r w:rsidR="004B6DD9" w:rsidRPr="00214E8E">
        <w:rPr>
          <w:rFonts w:asciiTheme="majorHAnsi" w:eastAsia="Times New Roman" w:hAnsiTheme="majorHAnsi"/>
        </w:rPr>
        <w:t>s</w:t>
      </w:r>
      <w:r w:rsidR="005A0455" w:rsidRPr="00214E8E">
        <w:rPr>
          <w:rFonts w:asciiTheme="majorHAnsi" w:eastAsia="Times New Roman" w:hAnsiTheme="majorHAnsi"/>
        </w:rPr>
        <w:t xml:space="preserve"> the final four pages </w:t>
      </w:r>
      <w:r w:rsidR="00025F79" w:rsidRPr="00214E8E">
        <w:rPr>
          <w:rFonts w:asciiTheme="majorHAnsi" w:eastAsia="Times New Roman" w:hAnsiTheme="majorHAnsi"/>
        </w:rPr>
        <w:t xml:space="preserve">of the chapter </w:t>
      </w:r>
      <w:r w:rsidR="005A0455" w:rsidRPr="00214E8E">
        <w:rPr>
          <w:rFonts w:asciiTheme="majorHAnsi" w:eastAsia="Times New Roman" w:hAnsiTheme="majorHAnsi"/>
        </w:rPr>
        <w:t xml:space="preserve">to a </w:t>
      </w:r>
      <w:r w:rsidR="00025F79" w:rsidRPr="00214E8E">
        <w:rPr>
          <w:rFonts w:asciiTheme="majorHAnsi" w:eastAsia="Times New Roman" w:hAnsiTheme="majorHAnsi"/>
        </w:rPr>
        <w:t xml:space="preserve">detailed </w:t>
      </w:r>
      <w:r w:rsidR="005A0455" w:rsidRPr="00214E8E">
        <w:rPr>
          <w:rFonts w:asciiTheme="majorHAnsi" w:eastAsia="Times New Roman" w:hAnsiTheme="majorHAnsi"/>
        </w:rPr>
        <w:t>general assessment of Delius</w:t>
      </w:r>
      <w:r w:rsidR="005B01B6" w:rsidRPr="00214E8E">
        <w:rPr>
          <w:rFonts w:asciiTheme="majorHAnsi" w:eastAsia="Times New Roman" w:hAnsiTheme="majorHAnsi"/>
        </w:rPr>
        <w:t>’</w:t>
      </w:r>
      <w:r w:rsidR="005A0455" w:rsidRPr="00214E8E">
        <w:rPr>
          <w:rFonts w:asciiTheme="majorHAnsi" w:eastAsia="Times New Roman" w:hAnsiTheme="majorHAnsi"/>
        </w:rPr>
        <w:t xml:space="preserve"> </w:t>
      </w:r>
      <w:r w:rsidR="00A57281">
        <w:rPr>
          <w:rFonts w:asciiTheme="majorHAnsi" w:eastAsia="Times New Roman" w:hAnsiTheme="majorHAnsi"/>
        </w:rPr>
        <w:t xml:space="preserve">broader </w:t>
      </w:r>
      <w:r w:rsidR="005A0455" w:rsidRPr="00214E8E">
        <w:rPr>
          <w:rFonts w:asciiTheme="majorHAnsi" w:eastAsia="Times New Roman" w:hAnsiTheme="majorHAnsi"/>
        </w:rPr>
        <w:t>significan</w:t>
      </w:r>
      <w:r w:rsidRPr="00214E8E">
        <w:rPr>
          <w:rFonts w:asciiTheme="majorHAnsi" w:eastAsia="Times New Roman" w:hAnsiTheme="majorHAnsi"/>
        </w:rPr>
        <w:t>ce.</w:t>
      </w:r>
      <w:r w:rsidR="001F4506" w:rsidRPr="00214E8E">
        <w:rPr>
          <w:rFonts w:asciiTheme="majorHAnsi" w:eastAsia="Times New Roman" w:hAnsiTheme="majorHAnsi"/>
        </w:rPr>
        <w:t xml:space="preserve"> Given that out of 117 music examples there is only the one </w:t>
      </w:r>
      <w:r w:rsidR="007B11AB" w:rsidRPr="00214E8E">
        <w:rPr>
          <w:rFonts w:asciiTheme="majorHAnsi" w:eastAsia="Times New Roman" w:hAnsiTheme="majorHAnsi"/>
        </w:rPr>
        <w:t xml:space="preserve">from </w:t>
      </w:r>
      <w:r w:rsidR="001F4506" w:rsidRPr="00214E8E">
        <w:rPr>
          <w:rFonts w:asciiTheme="majorHAnsi" w:eastAsia="Times New Roman" w:hAnsiTheme="majorHAnsi"/>
        </w:rPr>
        <w:t>Delius</w:t>
      </w:r>
      <w:r w:rsidR="000D1D73" w:rsidRPr="00214E8E">
        <w:rPr>
          <w:rFonts w:asciiTheme="majorHAnsi" w:eastAsia="Times New Roman" w:hAnsiTheme="majorHAnsi"/>
        </w:rPr>
        <w:t>, and even then not perhaps the most obvious choice</w:t>
      </w:r>
      <w:r w:rsidR="001F4506" w:rsidRPr="00214E8E">
        <w:rPr>
          <w:rFonts w:asciiTheme="majorHAnsi" w:eastAsia="Times New Roman" w:hAnsiTheme="majorHAnsi"/>
        </w:rPr>
        <w:t xml:space="preserve">, </w:t>
      </w:r>
      <w:r w:rsidR="000D1D73" w:rsidRPr="00214E8E">
        <w:rPr>
          <w:rFonts w:asciiTheme="majorHAnsi" w:eastAsia="Times New Roman" w:hAnsiTheme="majorHAnsi"/>
        </w:rPr>
        <w:t xml:space="preserve">it </w:t>
      </w:r>
      <w:r w:rsidR="001F4506" w:rsidRPr="00214E8E">
        <w:rPr>
          <w:rFonts w:asciiTheme="majorHAnsi" w:eastAsia="Times New Roman" w:hAnsiTheme="majorHAnsi"/>
        </w:rPr>
        <w:t xml:space="preserve">might </w:t>
      </w:r>
      <w:r w:rsidR="000D1D73" w:rsidRPr="00214E8E">
        <w:rPr>
          <w:rFonts w:asciiTheme="majorHAnsi" w:eastAsia="Times New Roman" w:hAnsiTheme="majorHAnsi"/>
        </w:rPr>
        <w:t xml:space="preserve">be suspected </w:t>
      </w:r>
      <w:r w:rsidR="001F4506" w:rsidRPr="00214E8E">
        <w:rPr>
          <w:rFonts w:asciiTheme="majorHAnsi" w:eastAsia="Times New Roman" w:hAnsiTheme="majorHAnsi"/>
        </w:rPr>
        <w:t>that there was a personal motive for Dyson</w:t>
      </w:r>
      <w:r w:rsidR="005B01B6" w:rsidRPr="00214E8E">
        <w:rPr>
          <w:rFonts w:asciiTheme="majorHAnsi" w:eastAsia="Times New Roman" w:hAnsiTheme="majorHAnsi"/>
        </w:rPr>
        <w:t>’</w:t>
      </w:r>
      <w:r w:rsidR="001F4506" w:rsidRPr="00214E8E">
        <w:rPr>
          <w:rFonts w:asciiTheme="majorHAnsi" w:eastAsia="Times New Roman" w:hAnsiTheme="majorHAnsi"/>
        </w:rPr>
        <w:t>s concluding digression</w:t>
      </w:r>
      <w:r w:rsidR="00C71606" w:rsidRPr="00214E8E">
        <w:rPr>
          <w:rFonts w:asciiTheme="majorHAnsi" w:eastAsia="Times New Roman" w:hAnsiTheme="majorHAnsi"/>
        </w:rPr>
        <w:t xml:space="preserve"> (though the two composers seem not to have known each other)</w:t>
      </w:r>
      <w:r w:rsidR="001F4506" w:rsidRPr="00214E8E">
        <w:rPr>
          <w:rFonts w:asciiTheme="majorHAnsi" w:eastAsia="Times New Roman" w:hAnsiTheme="majorHAnsi"/>
        </w:rPr>
        <w:t>.</w:t>
      </w:r>
      <w:r w:rsidR="00113625" w:rsidRPr="00214E8E">
        <w:rPr>
          <w:rFonts w:asciiTheme="majorHAnsi" w:eastAsia="Times New Roman" w:hAnsiTheme="majorHAnsi"/>
        </w:rPr>
        <w:t xml:space="preserve"> </w:t>
      </w:r>
      <w:r w:rsidR="000D1D73" w:rsidRPr="00214E8E">
        <w:rPr>
          <w:rFonts w:asciiTheme="majorHAnsi" w:eastAsia="Times New Roman" w:hAnsiTheme="majorHAnsi"/>
        </w:rPr>
        <w:t xml:space="preserve">In his discussion </w:t>
      </w:r>
      <w:r w:rsidR="00DE7BBD" w:rsidRPr="00214E8E">
        <w:rPr>
          <w:rFonts w:asciiTheme="majorHAnsi" w:eastAsia="Times New Roman" w:hAnsiTheme="majorHAnsi"/>
        </w:rPr>
        <w:t>Dyson notes that Delius</w:t>
      </w:r>
      <w:r w:rsidR="005B01B6" w:rsidRPr="00214E8E">
        <w:rPr>
          <w:rFonts w:asciiTheme="majorHAnsi" w:eastAsia="Times New Roman" w:hAnsiTheme="majorHAnsi"/>
        </w:rPr>
        <w:t>’</w:t>
      </w:r>
      <w:r w:rsidR="00DE7BBD" w:rsidRPr="00214E8E">
        <w:rPr>
          <w:rFonts w:asciiTheme="majorHAnsi" w:eastAsia="Times New Roman" w:hAnsiTheme="majorHAnsi"/>
        </w:rPr>
        <w:t xml:space="preserve"> position in musical culture </w:t>
      </w:r>
      <w:r w:rsidR="005B01B6" w:rsidRPr="00214E8E">
        <w:rPr>
          <w:rFonts w:asciiTheme="majorHAnsi" w:eastAsia="Times New Roman" w:hAnsiTheme="majorHAnsi"/>
        </w:rPr>
        <w:t>“</w:t>
      </w:r>
      <w:r w:rsidR="00DE7BBD" w:rsidRPr="00214E8E">
        <w:rPr>
          <w:rFonts w:asciiTheme="majorHAnsi" w:eastAsia="Times New Roman" w:hAnsiTheme="majorHAnsi"/>
        </w:rPr>
        <w:t>is a curious one</w:t>
      </w:r>
      <w:r w:rsidR="005B01B6" w:rsidRPr="00214E8E">
        <w:rPr>
          <w:rFonts w:asciiTheme="majorHAnsi" w:eastAsia="Times New Roman" w:hAnsiTheme="majorHAnsi"/>
        </w:rPr>
        <w:t>”</w:t>
      </w:r>
      <w:r w:rsidR="00C8220D" w:rsidRPr="00214E8E">
        <w:rPr>
          <w:rFonts w:asciiTheme="majorHAnsi" w:eastAsia="Times New Roman" w:hAnsiTheme="majorHAnsi"/>
        </w:rPr>
        <w:t xml:space="preserve"> and that opinion remains</w:t>
      </w:r>
      <w:r w:rsidR="00DE7BBD" w:rsidRPr="00214E8E">
        <w:rPr>
          <w:rFonts w:asciiTheme="majorHAnsi" w:eastAsia="Times New Roman" w:hAnsiTheme="majorHAnsi"/>
        </w:rPr>
        <w:t xml:space="preserve"> divided about his significance. </w:t>
      </w:r>
      <w:r w:rsidR="005B01B6" w:rsidRPr="00214E8E">
        <w:rPr>
          <w:rFonts w:asciiTheme="majorHAnsi" w:eastAsia="Times New Roman" w:hAnsiTheme="majorHAnsi"/>
        </w:rPr>
        <w:t>“</w:t>
      </w:r>
      <w:r w:rsidR="00DE7BBD" w:rsidRPr="00214E8E">
        <w:rPr>
          <w:rFonts w:asciiTheme="majorHAnsi" w:eastAsia="Times New Roman" w:hAnsiTheme="majorHAnsi"/>
        </w:rPr>
        <w:t>He is not aggressively an innovator, yet he distinctly belongs to the modern school.</w:t>
      </w:r>
      <w:r w:rsidR="005B01B6" w:rsidRPr="00214E8E">
        <w:rPr>
          <w:rFonts w:asciiTheme="majorHAnsi" w:eastAsia="Times New Roman" w:hAnsiTheme="majorHAnsi"/>
        </w:rPr>
        <w:t>”</w:t>
      </w:r>
      <w:r w:rsidR="00C8220D" w:rsidRPr="00214E8E">
        <w:rPr>
          <w:rFonts w:asciiTheme="majorHAnsi" w:eastAsia="Times New Roman" w:hAnsiTheme="majorHAnsi"/>
        </w:rPr>
        <w:t xml:space="preserve"> Acknowledging that Delius</w:t>
      </w:r>
      <w:r w:rsidR="00DE7BBD" w:rsidRPr="00214E8E">
        <w:rPr>
          <w:rFonts w:asciiTheme="majorHAnsi" w:eastAsia="Times New Roman" w:hAnsiTheme="majorHAnsi"/>
        </w:rPr>
        <w:t xml:space="preserve"> </w:t>
      </w:r>
      <w:r w:rsidR="005B01B6" w:rsidRPr="00214E8E">
        <w:rPr>
          <w:rFonts w:asciiTheme="majorHAnsi" w:eastAsia="Times New Roman" w:hAnsiTheme="majorHAnsi"/>
        </w:rPr>
        <w:t>“</w:t>
      </w:r>
      <w:r w:rsidR="00DE7BBD" w:rsidRPr="00214E8E">
        <w:rPr>
          <w:rFonts w:asciiTheme="majorHAnsi" w:eastAsia="Times New Roman" w:hAnsiTheme="majorHAnsi"/>
        </w:rPr>
        <w:t xml:space="preserve">has no facile tricks, no seductive emotionalism, </w:t>
      </w:r>
      <w:proofErr w:type="gramStart"/>
      <w:r w:rsidR="00DE7BBD" w:rsidRPr="00214E8E">
        <w:rPr>
          <w:rFonts w:asciiTheme="majorHAnsi" w:eastAsia="Times New Roman" w:hAnsiTheme="majorHAnsi"/>
        </w:rPr>
        <w:t>n</w:t>
      </w:r>
      <w:r w:rsidR="00C8220D" w:rsidRPr="00214E8E">
        <w:rPr>
          <w:rFonts w:asciiTheme="majorHAnsi" w:eastAsia="Times New Roman" w:hAnsiTheme="majorHAnsi"/>
        </w:rPr>
        <w:t>o</w:t>
      </w:r>
      <w:proofErr w:type="gramEnd"/>
      <w:r w:rsidR="00C8220D" w:rsidRPr="00214E8E">
        <w:rPr>
          <w:rFonts w:asciiTheme="majorHAnsi" w:eastAsia="Times New Roman" w:hAnsiTheme="majorHAnsi"/>
        </w:rPr>
        <w:t xml:space="preserve"> nervous intoxication to offer</w:t>
      </w:r>
      <w:r w:rsidR="005B01B6" w:rsidRPr="00214E8E">
        <w:rPr>
          <w:rFonts w:asciiTheme="majorHAnsi" w:eastAsia="Times New Roman" w:hAnsiTheme="majorHAnsi"/>
        </w:rPr>
        <w:t>”</w:t>
      </w:r>
      <w:r w:rsidR="00C8220D" w:rsidRPr="00214E8E">
        <w:rPr>
          <w:rFonts w:asciiTheme="majorHAnsi" w:eastAsia="Times New Roman" w:hAnsiTheme="majorHAnsi"/>
        </w:rPr>
        <w:t>, Dyson</w:t>
      </w:r>
      <w:r w:rsidR="005B01B6" w:rsidRPr="00214E8E">
        <w:rPr>
          <w:rFonts w:asciiTheme="majorHAnsi" w:eastAsia="Times New Roman" w:hAnsiTheme="majorHAnsi"/>
        </w:rPr>
        <w:t>’</w:t>
      </w:r>
      <w:r w:rsidR="00C8220D" w:rsidRPr="00214E8E">
        <w:rPr>
          <w:rFonts w:asciiTheme="majorHAnsi" w:eastAsia="Times New Roman" w:hAnsiTheme="majorHAnsi"/>
        </w:rPr>
        <w:t>s most insightful perception about Delius</w:t>
      </w:r>
      <w:r w:rsidR="005B01B6" w:rsidRPr="00214E8E">
        <w:rPr>
          <w:rFonts w:asciiTheme="majorHAnsi" w:eastAsia="Times New Roman" w:hAnsiTheme="majorHAnsi"/>
        </w:rPr>
        <w:t>’</w:t>
      </w:r>
      <w:r w:rsidR="00C8220D" w:rsidRPr="00214E8E">
        <w:rPr>
          <w:rFonts w:asciiTheme="majorHAnsi" w:eastAsia="Times New Roman" w:hAnsiTheme="majorHAnsi"/>
        </w:rPr>
        <w:t xml:space="preserve"> music </w:t>
      </w:r>
      <w:r w:rsidR="00A57281">
        <w:rPr>
          <w:rFonts w:asciiTheme="majorHAnsi" w:eastAsia="Times New Roman" w:hAnsiTheme="majorHAnsi"/>
        </w:rPr>
        <w:t xml:space="preserve">is about its rhapsodic quality. On this matter he writes that Delius’ </w:t>
      </w:r>
      <w:r w:rsidR="005B01B6" w:rsidRPr="00214E8E">
        <w:rPr>
          <w:rFonts w:asciiTheme="majorHAnsi" w:eastAsia="Times New Roman" w:hAnsiTheme="majorHAnsi"/>
        </w:rPr>
        <w:t>“</w:t>
      </w:r>
      <w:r w:rsidR="00C8220D" w:rsidRPr="00214E8E">
        <w:rPr>
          <w:rFonts w:asciiTheme="majorHAnsi" w:eastAsia="Times New Roman" w:hAnsiTheme="majorHAnsi"/>
        </w:rPr>
        <w:t>texture as such has aesthetic values of its own which may be derived neither from those of the single line nor yet from the reflected light of powerful harmonic themes.</w:t>
      </w:r>
      <w:r w:rsidR="005B01B6" w:rsidRPr="00214E8E">
        <w:rPr>
          <w:rFonts w:asciiTheme="majorHAnsi" w:eastAsia="Times New Roman" w:hAnsiTheme="majorHAnsi"/>
        </w:rPr>
        <w:t>”</w:t>
      </w:r>
      <w:r w:rsidR="00C8220D" w:rsidRPr="00214E8E">
        <w:rPr>
          <w:rStyle w:val="EndnoteReference"/>
          <w:rFonts w:asciiTheme="majorHAnsi" w:eastAsia="Times New Roman" w:hAnsiTheme="majorHAnsi"/>
        </w:rPr>
        <w:endnoteReference w:id="10"/>
      </w:r>
    </w:p>
    <w:p w:rsidR="0075359C" w:rsidRPr="00214E8E" w:rsidRDefault="0075359C" w:rsidP="002B5EBF">
      <w:pPr>
        <w:spacing w:line="480" w:lineRule="auto"/>
        <w:rPr>
          <w:rFonts w:asciiTheme="majorHAnsi" w:eastAsia="Times New Roman" w:hAnsiTheme="majorHAnsi"/>
        </w:rPr>
      </w:pPr>
    </w:p>
    <w:p w:rsidR="00C8220D" w:rsidRPr="00214E8E" w:rsidRDefault="00C8220D" w:rsidP="002B5EBF">
      <w:pPr>
        <w:spacing w:line="480" w:lineRule="auto"/>
        <w:rPr>
          <w:rFonts w:asciiTheme="majorHAnsi" w:eastAsia="Times New Roman" w:hAnsiTheme="majorHAnsi"/>
        </w:rPr>
      </w:pPr>
      <w:r w:rsidRPr="00214E8E">
        <w:rPr>
          <w:rFonts w:asciiTheme="majorHAnsi" w:eastAsia="Times New Roman" w:hAnsiTheme="majorHAnsi"/>
        </w:rPr>
        <w:t>3</w:t>
      </w:r>
    </w:p>
    <w:p w:rsidR="005F23AB" w:rsidRPr="00214E8E" w:rsidRDefault="00C56257" w:rsidP="002B5EBF">
      <w:pPr>
        <w:spacing w:line="480" w:lineRule="auto"/>
        <w:rPr>
          <w:rFonts w:asciiTheme="majorHAnsi" w:eastAsia="Times New Roman" w:hAnsiTheme="majorHAnsi"/>
        </w:rPr>
      </w:pPr>
      <w:r w:rsidRPr="00214E8E">
        <w:rPr>
          <w:rFonts w:asciiTheme="majorHAnsi" w:eastAsia="Times New Roman" w:hAnsiTheme="majorHAnsi"/>
        </w:rPr>
        <w:t>Both Heseltine</w:t>
      </w:r>
      <w:r w:rsidR="005B01B6" w:rsidRPr="00214E8E">
        <w:rPr>
          <w:rFonts w:asciiTheme="majorHAnsi" w:eastAsia="Times New Roman" w:hAnsiTheme="majorHAnsi"/>
        </w:rPr>
        <w:t>’</w:t>
      </w:r>
      <w:r w:rsidRPr="00214E8E">
        <w:rPr>
          <w:rFonts w:asciiTheme="majorHAnsi" w:eastAsia="Times New Roman" w:hAnsiTheme="majorHAnsi"/>
        </w:rPr>
        <w:t>s and Dyson</w:t>
      </w:r>
      <w:r w:rsidR="005B01B6" w:rsidRPr="00214E8E">
        <w:rPr>
          <w:rFonts w:asciiTheme="majorHAnsi" w:eastAsia="Times New Roman" w:hAnsiTheme="majorHAnsi"/>
        </w:rPr>
        <w:t>’</w:t>
      </w:r>
      <w:r w:rsidRPr="00214E8E">
        <w:rPr>
          <w:rFonts w:asciiTheme="majorHAnsi" w:eastAsia="Times New Roman" w:hAnsiTheme="majorHAnsi"/>
        </w:rPr>
        <w:t xml:space="preserve">s books sit within a wide-ranging </w:t>
      </w:r>
      <w:r w:rsidR="000D1D73" w:rsidRPr="00214E8E">
        <w:rPr>
          <w:rFonts w:asciiTheme="majorHAnsi" w:eastAsia="Times New Roman" w:hAnsiTheme="majorHAnsi"/>
        </w:rPr>
        <w:t xml:space="preserve">discourse </w:t>
      </w:r>
      <w:r w:rsidRPr="00214E8E">
        <w:rPr>
          <w:rFonts w:asciiTheme="majorHAnsi" w:eastAsia="Times New Roman" w:hAnsiTheme="majorHAnsi"/>
        </w:rPr>
        <w:t xml:space="preserve">of </w:t>
      </w:r>
      <w:r w:rsidR="00422829" w:rsidRPr="00214E8E">
        <w:rPr>
          <w:rFonts w:asciiTheme="majorHAnsi" w:eastAsia="Times New Roman" w:hAnsiTheme="majorHAnsi"/>
        </w:rPr>
        <w:t>contemporary</w:t>
      </w:r>
      <w:r w:rsidR="00F31AEC" w:rsidRPr="00214E8E">
        <w:rPr>
          <w:rFonts w:asciiTheme="majorHAnsi" w:eastAsia="Times New Roman" w:hAnsiTheme="majorHAnsi"/>
        </w:rPr>
        <w:t xml:space="preserve"> </w:t>
      </w:r>
      <w:r w:rsidRPr="00214E8E">
        <w:rPr>
          <w:rFonts w:asciiTheme="majorHAnsi" w:eastAsia="Times New Roman" w:hAnsiTheme="majorHAnsi"/>
        </w:rPr>
        <w:t>ide</w:t>
      </w:r>
      <w:r w:rsidR="000D1D73" w:rsidRPr="00214E8E">
        <w:rPr>
          <w:rFonts w:asciiTheme="majorHAnsi" w:eastAsia="Times New Roman" w:hAnsiTheme="majorHAnsi"/>
        </w:rPr>
        <w:t xml:space="preserve">as about how to listen to music. This discourse </w:t>
      </w:r>
      <w:r w:rsidR="00A57281">
        <w:rPr>
          <w:rFonts w:asciiTheme="majorHAnsi" w:eastAsia="Times New Roman" w:hAnsiTheme="majorHAnsi"/>
        </w:rPr>
        <w:t xml:space="preserve">is </w:t>
      </w:r>
      <w:r w:rsidR="000D1D73" w:rsidRPr="00214E8E">
        <w:rPr>
          <w:rFonts w:asciiTheme="majorHAnsi" w:eastAsia="Times New Roman" w:hAnsiTheme="majorHAnsi"/>
        </w:rPr>
        <w:t xml:space="preserve">characterised by a distinctive moral tone: the focus </w:t>
      </w:r>
      <w:r w:rsidR="00A57281">
        <w:rPr>
          <w:rFonts w:asciiTheme="majorHAnsi" w:eastAsia="Times New Roman" w:hAnsiTheme="majorHAnsi"/>
        </w:rPr>
        <w:t xml:space="preserve">is </w:t>
      </w:r>
      <w:r w:rsidR="000D1D73" w:rsidRPr="00214E8E">
        <w:rPr>
          <w:rFonts w:asciiTheme="majorHAnsi" w:eastAsia="Times New Roman" w:hAnsiTheme="majorHAnsi"/>
        </w:rPr>
        <w:t>acutely on</w:t>
      </w:r>
      <w:r w:rsidRPr="00214E8E">
        <w:rPr>
          <w:rFonts w:asciiTheme="majorHAnsi" w:eastAsia="Times New Roman" w:hAnsiTheme="majorHAnsi"/>
        </w:rPr>
        <w:t xml:space="preserve"> how listeners </w:t>
      </w:r>
      <w:r w:rsidRPr="00214E8E">
        <w:rPr>
          <w:rFonts w:asciiTheme="majorHAnsi" w:eastAsia="Times New Roman" w:hAnsiTheme="majorHAnsi"/>
          <w:i/>
        </w:rPr>
        <w:t>should</w:t>
      </w:r>
      <w:r w:rsidRPr="00214E8E">
        <w:rPr>
          <w:rFonts w:asciiTheme="majorHAnsi" w:eastAsia="Times New Roman" w:hAnsiTheme="majorHAnsi"/>
        </w:rPr>
        <w:t xml:space="preserve"> listen to music, </w:t>
      </w:r>
      <w:r w:rsidR="000D1D73" w:rsidRPr="00214E8E">
        <w:rPr>
          <w:rFonts w:asciiTheme="majorHAnsi" w:eastAsia="Times New Roman" w:hAnsiTheme="majorHAnsi"/>
        </w:rPr>
        <w:t xml:space="preserve">especially in </w:t>
      </w:r>
      <w:r w:rsidRPr="00214E8E">
        <w:rPr>
          <w:rFonts w:asciiTheme="majorHAnsi" w:eastAsia="Times New Roman" w:hAnsiTheme="majorHAnsi"/>
          <w:i/>
        </w:rPr>
        <w:t>apologia</w:t>
      </w:r>
      <w:r w:rsidRPr="00214E8E">
        <w:rPr>
          <w:rFonts w:asciiTheme="majorHAnsi" w:eastAsia="Times New Roman" w:hAnsiTheme="majorHAnsi"/>
        </w:rPr>
        <w:t xml:space="preserve"> for specific composers and treatises about the </w:t>
      </w:r>
      <w:r w:rsidR="005B01B6" w:rsidRPr="00214E8E">
        <w:rPr>
          <w:rFonts w:asciiTheme="majorHAnsi" w:eastAsia="Times New Roman" w:hAnsiTheme="majorHAnsi"/>
        </w:rPr>
        <w:t>‘</w:t>
      </w:r>
      <w:r w:rsidRPr="00214E8E">
        <w:rPr>
          <w:rFonts w:asciiTheme="majorHAnsi" w:eastAsia="Times New Roman" w:hAnsiTheme="majorHAnsi"/>
        </w:rPr>
        <w:t>new</w:t>
      </w:r>
      <w:r w:rsidR="005B01B6" w:rsidRPr="00214E8E">
        <w:rPr>
          <w:rFonts w:asciiTheme="majorHAnsi" w:eastAsia="Times New Roman" w:hAnsiTheme="majorHAnsi"/>
        </w:rPr>
        <w:t>’</w:t>
      </w:r>
      <w:r w:rsidR="000D1D73" w:rsidRPr="00214E8E">
        <w:rPr>
          <w:rFonts w:asciiTheme="majorHAnsi" w:eastAsia="Times New Roman" w:hAnsiTheme="majorHAnsi"/>
        </w:rPr>
        <w:t xml:space="preserve">, and </w:t>
      </w:r>
      <w:r w:rsidR="000D1D73" w:rsidRPr="00214E8E">
        <w:rPr>
          <w:rFonts w:asciiTheme="majorHAnsi" w:eastAsia="Times New Roman" w:hAnsiTheme="majorHAnsi"/>
        </w:rPr>
        <w:lastRenderedPageBreak/>
        <w:t xml:space="preserve">education and morality </w:t>
      </w:r>
      <w:r w:rsidR="00A57281">
        <w:rPr>
          <w:rFonts w:asciiTheme="majorHAnsi" w:eastAsia="Times New Roman" w:hAnsiTheme="majorHAnsi"/>
        </w:rPr>
        <w:t xml:space="preserve">are consistently, </w:t>
      </w:r>
      <w:r w:rsidR="000D1D73" w:rsidRPr="00214E8E">
        <w:rPr>
          <w:rFonts w:asciiTheme="majorHAnsi" w:eastAsia="Times New Roman" w:hAnsiTheme="majorHAnsi"/>
        </w:rPr>
        <w:t>deliberately</w:t>
      </w:r>
      <w:r w:rsidR="00A57281">
        <w:rPr>
          <w:rFonts w:asciiTheme="majorHAnsi" w:eastAsia="Times New Roman" w:hAnsiTheme="majorHAnsi"/>
        </w:rPr>
        <w:t>, and explicitly</w:t>
      </w:r>
      <w:r w:rsidR="000D1D73" w:rsidRPr="00214E8E">
        <w:rPr>
          <w:rFonts w:asciiTheme="majorHAnsi" w:eastAsia="Times New Roman" w:hAnsiTheme="majorHAnsi"/>
        </w:rPr>
        <w:t xml:space="preserve"> intertwined</w:t>
      </w:r>
      <w:r w:rsidRPr="00214E8E">
        <w:rPr>
          <w:rFonts w:asciiTheme="majorHAnsi" w:eastAsia="Times New Roman" w:hAnsiTheme="majorHAnsi"/>
        </w:rPr>
        <w:t xml:space="preserve">. Within the historical context relevant to </w:t>
      </w:r>
      <w:r w:rsidR="00422829" w:rsidRPr="00214E8E">
        <w:rPr>
          <w:rFonts w:asciiTheme="majorHAnsi" w:eastAsia="Times New Roman" w:hAnsiTheme="majorHAnsi"/>
        </w:rPr>
        <w:t>Delius</w:t>
      </w:r>
      <w:r w:rsidR="002159E5">
        <w:rPr>
          <w:rFonts w:asciiTheme="majorHAnsi" w:eastAsia="Times New Roman" w:hAnsiTheme="majorHAnsi"/>
        </w:rPr>
        <w:t xml:space="preserve">, “whoever he may be”, </w:t>
      </w:r>
      <w:r w:rsidR="00422829" w:rsidRPr="00214E8E">
        <w:rPr>
          <w:rFonts w:asciiTheme="majorHAnsi" w:eastAsia="Times New Roman" w:hAnsiTheme="majorHAnsi"/>
        </w:rPr>
        <w:t>and the studies by Heseltine and Dyson</w:t>
      </w:r>
      <w:r w:rsidRPr="00214E8E">
        <w:rPr>
          <w:rFonts w:asciiTheme="majorHAnsi" w:eastAsia="Times New Roman" w:hAnsiTheme="majorHAnsi"/>
        </w:rPr>
        <w:t xml:space="preserve">, we </w:t>
      </w:r>
      <w:r w:rsidR="00422829" w:rsidRPr="00214E8E">
        <w:rPr>
          <w:rFonts w:asciiTheme="majorHAnsi" w:eastAsia="Times New Roman" w:hAnsiTheme="majorHAnsi"/>
        </w:rPr>
        <w:t xml:space="preserve">can </w:t>
      </w:r>
      <w:r w:rsidR="00687BC3" w:rsidRPr="00214E8E">
        <w:rPr>
          <w:rFonts w:asciiTheme="majorHAnsi" w:eastAsia="Times New Roman" w:hAnsiTheme="majorHAnsi"/>
        </w:rPr>
        <w:t xml:space="preserve">turn to </w:t>
      </w:r>
      <w:r w:rsidRPr="00214E8E">
        <w:rPr>
          <w:rFonts w:asciiTheme="majorHAnsi" w:eastAsia="Times New Roman" w:hAnsiTheme="majorHAnsi"/>
        </w:rPr>
        <w:t xml:space="preserve">an article by Arthur Clutton-Brock </w:t>
      </w:r>
      <w:r w:rsidR="005F23AB" w:rsidRPr="00214E8E">
        <w:rPr>
          <w:rFonts w:asciiTheme="majorHAnsi" w:eastAsia="Times New Roman" w:hAnsiTheme="majorHAnsi"/>
        </w:rPr>
        <w:t xml:space="preserve">commissioned specifically by the editor for the inaugural issue </w:t>
      </w:r>
      <w:r w:rsidRPr="00214E8E">
        <w:rPr>
          <w:rFonts w:asciiTheme="majorHAnsi" w:eastAsia="Times New Roman" w:hAnsiTheme="majorHAnsi"/>
        </w:rPr>
        <w:t xml:space="preserve">of a new </w:t>
      </w:r>
      <w:r w:rsidR="00824EF3" w:rsidRPr="00214E8E">
        <w:rPr>
          <w:rFonts w:asciiTheme="majorHAnsi" w:eastAsia="Times New Roman" w:hAnsiTheme="majorHAnsi"/>
        </w:rPr>
        <w:t xml:space="preserve">magazine </w:t>
      </w:r>
      <w:r w:rsidRPr="00214E8E">
        <w:rPr>
          <w:rFonts w:asciiTheme="majorHAnsi" w:eastAsia="Times New Roman" w:hAnsiTheme="majorHAnsi"/>
        </w:rPr>
        <w:t xml:space="preserve">called </w:t>
      </w:r>
      <w:r w:rsidRPr="00214E8E">
        <w:rPr>
          <w:rFonts w:asciiTheme="majorHAnsi" w:eastAsia="Times New Roman" w:hAnsiTheme="majorHAnsi"/>
          <w:i/>
        </w:rPr>
        <w:t>Music and Letters</w:t>
      </w:r>
      <w:r w:rsidR="00C71606" w:rsidRPr="00214E8E">
        <w:rPr>
          <w:rFonts w:asciiTheme="majorHAnsi" w:eastAsia="Times New Roman" w:hAnsiTheme="majorHAnsi"/>
        </w:rPr>
        <w:t xml:space="preserve">, </w:t>
      </w:r>
      <w:r w:rsidR="005A1361" w:rsidRPr="00214E8E">
        <w:rPr>
          <w:rFonts w:asciiTheme="majorHAnsi" w:eastAsia="Times New Roman" w:hAnsiTheme="majorHAnsi"/>
        </w:rPr>
        <w:t>dated</w:t>
      </w:r>
      <w:r w:rsidR="00160268" w:rsidRPr="00214E8E">
        <w:rPr>
          <w:rFonts w:asciiTheme="majorHAnsi" w:eastAsia="Times New Roman" w:hAnsiTheme="majorHAnsi"/>
        </w:rPr>
        <w:t xml:space="preserve"> January </w:t>
      </w:r>
      <w:r w:rsidR="005F23AB" w:rsidRPr="00214E8E">
        <w:rPr>
          <w:rFonts w:asciiTheme="majorHAnsi" w:eastAsia="Times New Roman" w:hAnsiTheme="majorHAnsi"/>
        </w:rPr>
        <w:t>1920.</w:t>
      </w:r>
      <w:r w:rsidR="005F23AB" w:rsidRPr="00214E8E">
        <w:rPr>
          <w:rStyle w:val="EndnoteReference"/>
          <w:rFonts w:asciiTheme="majorHAnsi" w:eastAsia="Times New Roman" w:hAnsiTheme="majorHAnsi"/>
        </w:rPr>
        <w:endnoteReference w:id="11"/>
      </w:r>
    </w:p>
    <w:p w:rsidR="001F4259" w:rsidRPr="00214E8E" w:rsidRDefault="00422829" w:rsidP="004C5F13">
      <w:pPr>
        <w:pStyle w:val="PlainText"/>
        <w:spacing w:line="480" w:lineRule="auto"/>
        <w:ind w:firstLine="720"/>
        <w:rPr>
          <w:rFonts w:asciiTheme="majorHAnsi" w:hAnsiTheme="majorHAnsi"/>
          <w:sz w:val="24"/>
          <w:szCs w:val="24"/>
        </w:rPr>
      </w:pPr>
      <w:r w:rsidRPr="00214E8E">
        <w:rPr>
          <w:rFonts w:asciiTheme="majorHAnsi" w:hAnsiTheme="majorHAnsi"/>
          <w:sz w:val="24"/>
          <w:szCs w:val="24"/>
        </w:rPr>
        <w:t>B</w:t>
      </w:r>
      <w:r w:rsidR="00687BC3" w:rsidRPr="00214E8E">
        <w:rPr>
          <w:rFonts w:asciiTheme="majorHAnsi" w:hAnsiTheme="majorHAnsi"/>
          <w:sz w:val="24"/>
          <w:szCs w:val="24"/>
        </w:rPr>
        <w:t>efore considering Clutton-Brock</w:t>
      </w:r>
      <w:r w:rsidR="005B01B6" w:rsidRPr="00214E8E">
        <w:rPr>
          <w:rFonts w:asciiTheme="majorHAnsi" w:hAnsiTheme="majorHAnsi"/>
          <w:sz w:val="24"/>
          <w:szCs w:val="24"/>
        </w:rPr>
        <w:t>’</w:t>
      </w:r>
      <w:r w:rsidR="00687BC3" w:rsidRPr="00214E8E">
        <w:rPr>
          <w:rFonts w:asciiTheme="majorHAnsi" w:hAnsiTheme="majorHAnsi"/>
          <w:sz w:val="24"/>
          <w:szCs w:val="24"/>
        </w:rPr>
        <w:t>s article, however, let us conduct a fanciful little thought experiment. S</w:t>
      </w:r>
      <w:r w:rsidR="0075359C" w:rsidRPr="00214E8E">
        <w:rPr>
          <w:rFonts w:asciiTheme="majorHAnsi" w:hAnsiTheme="majorHAnsi"/>
          <w:sz w:val="24"/>
          <w:szCs w:val="24"/>
        </w:rPr>
        <w:t xml:space="preserve">uppose that you had </w:t>
      </w:r>
      <w:r w:rsidR="00824EF3" w:rsidRPr="00214E8E">
        <w:rPr>
          <w:rFonts w:asciiTheme="majorHAnsi" w:hAnsiTheme="majorHAnsi"/>
          <w:sz w:val="24"/>
          <w:szCs w:val="24"/>
        </w:rPr>
        <w:t xml:space="preserve">been handed </w:t>
      </w:r>
      <w:r w:rsidR="0075359C" w:rsidRPr="00214E8E">
        <w:rPr>
          <w:rFonts w:asciiTheme="majorHAnsi" w:hAnsiTheme="majorHAnsi"/>
          <w:sz w:val="24"/>
          <w:szCs w:val="24"/>
        </w:rPr>
        <w:t xml:space="preserve">a copy of </w:t>
      </w:r>
      <w:r w:rsidR="00824EF3" w:rsidRPr="00214E8E">
        <w:rPr>
          <w:rFonts w:asciiTheme="majorHAnsi" w:hAnsiTheme="majorHAnsi"/>
          <w:sz w:val="24"/>
          <w:szCs w:val="24"/>
        </w:rPr>
        <w:t xml:space="preserve">this </w:t>
      </w:r>
      <w:r w:rsidR="0075359C" w:rsidRPr="00214E8E">
        <w:rPr>
          <w:rFonts w:asciiTheme="majorHAnsi" w:hAnsiTheme="majorHAnsi"/>
          <w:sz w:val="24"/>
          <w:szCs w:val="24"/>
        </w:rPr>
        <w:t>inaugural issue</w:t>
      </w:r>
      <w:r w:rsidR="00687BC3" w:rsidRPr="00214E8E">
        <w:rPr>
          <w:rFonts w:asciiTheme="majorHAnsi" w:hAnsiTheme="majorHAnsi"/>
          <w:sz w:val="24"/>
          <w:szCs w:val="24"/>
        </w:rPr>
        <w:t xml:space="preserve">, or found it </w:t>
      </w:r>
      <w:r w:rsidR="002159E5">
        <w:rPr>
          <w:rFonts w:asciiTheme="majorHAnsi" w:hAnsiTheme="majorHAnsi"/>
          <w:sz w:val="24"/>
          <w:szCs w:val="24"/>
        </w:rPr>
        <w:t xml:space="preserve">lying </w:t>
      </w:r>
      <w:r w:rsidR="00687BC3" w:rsidRPr="00214E8E">
        <w:rPr>
          <w:rFonts w:asciiTheme="majorHAnsi" w:hAnsiTheme="majorHAnsi"/>
          <w:sz w:val="24"/>
          <w:szCs w:val="24"/>
        </w:rPr>
        <w:t>on a coffee table in a large London house, or on the racks in your Club</w:t>
      </w:r>
      <w:r w:rsidR="0075359C" w:rsidRPr="00214E8E">
        <w:rPr>
          <w:rFonts w:asciiTheme="majorHAnsi" w:hAnsiTheme="majorHAnsi"/>
          <w:sz w:val="24"/>
          <w:szCs w:val="24"/>
        </w:rPr>
        <w:t xml:space="preserve">. What </w:t>
      </w:r>
      <w:r w:rsidR="00824EF3" w:rsidRPr="00214E8E">
        <w:rPr>
          <w:rFonts w:asciiTheme="majorHAnsi" w:hAnsiTheme="majorHAnsi"/>
          <w:sz w:val="24"/>
          <w:szCs w:val="24"/>
        </w:rPr>
        <w:t xml:space="preserve">might </w:t>
      </w:r>
      <w:r w:rsidR="0075359C" w:rsidRPr="00214E8E">
        <w:rPr>
          <w:rFonts w:asciiTheme="majorHAnsi" w:hAnsiTheme="majorHAnsi"/>
          <w:sz w:val="24"/>
          <w:szCs w:val="24"/>
        </w:rPr>
        <w:t xml:space="preserve">you have made of the short piece of sheet music included at the end? </w:t>
      </w:r>
      <w:r w:rsidR="00687BC3" w:rsidRPr="00214E8E">
        <w:rPr>
          <w:rFonts w:asciiTheme="majorHAnsi" w:hAnsiTheme="majorHAnsi"/>
          <w:sz w:val="24"/>
          <w:szCs w:val="24"/>
        </w:rPr>
        <w:t xml:space="preserve">This was </w:t>
      </w:r>
      <w:r w:rsidR="002159E5">
        <w:rPr>
          <w:rFonts w:asciiTheme="majorHAnsi" w:hAnsiTheme="majorHAnsi"/>
          <w:sz w:val="24"/>
          <w:szCs w:val="24"/>
        </w:rPr>
        <w:t xml:space="preserve">the same short piece that Dyson quoted in his book, namely </w:t>
      </w:r>
      <w:r w:rsidR="0075359C" w:rsidRPr="00214E8E">
        <w:rPr>
          <w:rFonts w:asciiTheme="majorHAnsi" w:hAnsiTheme="majorHAnsi"/>
          <w:sz w:val="24"/>
          <w:szCs w:val="24"/>
        </w:rPr>
        <w:t>Delius</w:t>
      </w:r>
      <w:r w:rsidR="005B01B6" w:rsidRPr="00214E8E">
        <w:rPr>
          <w:rFonts w:asciiTheme="majorHAnsi" w:hAnsiTheme="majorHAnsi"/>
          <w:sz w:val="24"/>
          <w:szCs w:val="24"/>
        </w:rPr>
        <w:t>’</w:t>
      </w:r>
      <w:r w:rsidR="0075359C" w:rsidRPr="00214E8E">
        <w:rPr>
          <w:rFonts w:asciiTheme="majorHAnsi" w:hAnsiTheme="majorHAnsi"/>
          <w:sz w:val="24"/>
          <w:szCs w:val="24"/>
        </w:rPr>
        <w:t xml:space="preserve">s Dance for harpsichord, which </w:t>
      </w:r>
      <w:r w:rsidR="00687BC3" w:rsidRPr="00214E8E">
        <w:rPr>
          <w:rFonts w:asciiTheme="majorHAnsi" w:hAnsiTheme="majorHAnsi"/>
          <w:sz w:val="24"/>
          <w:szCs w:val="24"/>
        </w:rPr>
        <w:t xml:space="preserve">he had </w:t>
      </w:r>
      <w:r w:rsidR="0075359C" w:rsidRPr="00214E8E">
        <w:rPr>
          <w:rFonts w:asciiTheme="majorHAnsi" w:hAnsiTheme="majorHAnsi"/>
          <w:sz w:val="24"/>
          <w:szCs w:val="24"/>
        </w:rPr>
        <w:t>composed the previous year while he and Jelka were gu</w:t>
      </w:r>
      <w:r w:rsidR="00687BC3" w:rsidRPr="00214E8E">
        <w:rPr>
          <w:rFonts w:asciiTheme="majorHAnsi" w:hAnsiTheme="majorHAnsi"/>
          <w:sz w:val="24"/>
          <w:szCs w:val="24"/>
        </w:rPr>
        <w:t xml:space="preserve">ests of </w:t>
      </w:r>
      <w:r w:rsidR="0059283A" w:rsidRPr="00214E8E">
        <w:rPr>
          <w:rFonts w:asciiTheme="majorHAnsi" w:hAnsiTheme="majorHAnsi"/>
          <w:sz w:val="24"/>
          <w:szCs w:val="24"/>
          <w:lang w:val="en"/>
        </w:rPr>
        <w:t xml:space="preserve">the flamboyant performer and society hostess </w:t>
      </w:r>
      <w:r w:rsidR="00687BC3" w:rsidRPr="00214E8E">
        <w:rPr>
          <w:rFonts w:asciiTheme="majorHAnsi" w:hAnsiTheme="majorHAnsi"/>
          <w:sz w:val="24"/>
          <w:szCs w:val="24"/>
        </w:rPr>
        <w:t xml:space="preserve">Violet </w:t>
      </w:r>
      <w:r w:rsidR="00F004B0" w:rsidRPr="00214E8E">
        <w:rPr>
          <w:rFonts w:asciiTheme="majorHAnsi" w:hAnsiTheme="majorHAnsi"/>
          <w:sz w:val="24"/>
          <w:szCs w:val="24"/>
        </w:rPr>
        <w:t>Gordon-Woodhouse</w:t>
      </w:r>
      <w:r w:rsidR="00687BC3" w:rsidRPr="00214E8E">
        <w:rPr>
          <w:rFonts w:asciiTheme="majorHAnsi" w:hAnsiTheme="majorHAnsi"/>
          <w:sz w:val="24"/>
          <w:szCs w:val="24"/>
        </w:rPr>
        <w:t xml:space="preserve">. The Dance was </w:t>
      </w:r>
      <w:r w:rsidR="00824EF3" w:rsidRPr="00214E8E">
        <w:rPr>
          <w:rFonts w:asciiTheme="majorHAnsi" w:hAnsiTheme="majorHAnsi"/>
          <w:sz w:val="24"/>
          <w:szCs w:val="24"/>
        </w:rPr>
        <w:t xml:space="preserve">hardly representative of </w:t>
      </w:r>
      <w:r w:rsidR="00687BC3" w:rsidRPr="00214E8E">
        <w:rPr>
          <w:rFonts w:asciiTheme="majorHAnsi" w:hAnsiTheme="majorHAnsi"/>
          <w:sz w:val="24"/>
          <w:szCs w:val="24"/>
        </w:rPr>
        <w:t>Delius</w:t>
      </w:r>
      <w:r w:rsidR="005B01B6" w:rsidRPr="00214E8E">
        <w:rPr>
          <w:rFonts w:asciiTheme="majorHAnsi" w:hAnsiTheme="majorHAnsi"/>
          <w:sz w:val="24"/>
          <w:szCs w:val="24"/>
        </w:rPr>
        <w:t>’</w:t>
      </w:r>
      <w:r w:rsidR="00687BC3" w:rsidRPr="00214E8E">
        <w:rPr>
          <w:rFonts w:asciiTheme="majorHAnsi" w:hAnsiTheme="majorHAnsi"/>
          <w:sz w:val="24"/>
          <w:szCs w:val="24"/>
        </w:rPr>
        <w:t xml:space="preserve"> </w:t>
      </w:r>
      <w:r w:rsidR="00824EF3" w:rsidRPr="00214E8E">
        <w:rPr>
          <w:rFonts w:asciiTheme="majorHAnsi" w:hAnsiTheme="majorHAnsi"/>
          <w:sz w:val="24"/>
          <w:szCs w:val="24"/>
        </w:rPr>
        <w:t>normal</w:t>
      </w:r>
      <w:r w:rsidR="0075359C" w:rsidRPr="00214E8E">
        <w:rPr>
          <w:rFonts w:asciiTheme="majorHAnsi" w:hAnsiTheme="majorHAnsi"/>
          <w:sz w:val="24"/>
          <w:szCs w:val="24"/>
        </w:rPr>
        <w:t xml:space="preserve"> musical </w:t>
      </w:r>
      <w:proofErr w:type="gramStart"/>
      <w:r w:rsidR="0075359C" w:rsidRPr="00214E8E">
        <w:rPr>
          <w:rFonts w:asciiTheme="majorHAnsi" w:hAnsiTheme="majorHAnsi"/>
          <w:sz w:val="24"/>
          <w:szCs w:val="24"/>
        </w:rPr>
        <w:t>style,</w:t>
      </w:r>
      <w:proofErr w:type="gramEnd"/>
      <w:r w:rsidR="0075359C" w:rsidRPr="00214E8E">
        <w:rPr>
          <w:rFonts w:asciiTheme="majorHAnsi" w:hAnsiTheme="majorHAnsi"/>
          <w:sz w:val="24"/>
          <w:szCs w:val="24"/>
        </w:rPr>
        <w:t xml:space="preserve"> however that migh</w:t>
      </w:r>
      <w:r w:rsidR="00D051CB" w:rsidRPr="00214E8E">
        <w:rPr>
          <w:rFonts w:asciiTheme="majorHAnsi" w:hAnsiTheme="majorHAnsi"/>
          <w:sz w:val="24"/>
          <w:szCs w:val="24"/>
        </w:rPr>
        <w:t xml:space="preserve">t have been understood in 1920, almost a decade </w:t>
      </w:r>
      <w:r w:rsidR="0075359C" w:rsidRPr="00214E8E">
        <w:rPr>
          <w:rFonts w:asciiTheme="majorHAnsi" w:hAnsiTheme="majorHAnsi"/>
          <w:sz w:val="24"/>
          <w:szCs w:val="24"/>
        </w:rPr>
        <w:t>before a real understanding of Delius</w:t>
      </w:r>
      <w:r w:rsidR="005B01B6" w:rsidRPr="00214E8E">
        <w:rPr>
          <w:rFonts w:asciiTheme="majorHAnsi" w:hAnsiTheme="majorHAnsi"/>
          <w:sz w:val="24"/>
          <w:szCs w:val="24"/>
        </w:rPr>
        <w:t>’</w:t>
      </w:r>
      <w:r w:rsidR="00687BC3" w:rsidRPr="00214E8E">
        <w:rPr>
          <w:rFonts w:asciiTheme="majorHAnsi" w:hAnsiTheme="majorHAnsi"/>
          <w:sz w:val="24"/>
          <w:szCs w:val="24"/>
        </w:rPr>
        <w:t xml:space="preserve"> significance</w:t>
      </w:r>
      <w:r w:rsidR="0075359C" w:rsidRPr="00214E8E">
        <w:rPr>
          <w:rFonts w:asciiTheme="majorHAnsi" w:hAnsiTheme="majorHAnsi"/>
          <w:sz w:val="24"/>
          <w:szCs w:val="24"/>
        </w:rPr>
        <w:t xml:space="preserve"> was </w:t>
      </w:r>
      <w:r w:rsidR="00824EF3" w:rsidRPr="00214E8E">
        <w:rPr>
          <w:rFonts w:asciiTheme="majorHAnsi" w:hAnsiTheme="majorHAnsi"/>
          <w:sz w:val="24"/>
          <w:szCs w:val="24"/>
        </w:rPr>
        <w:t xml:space="preserve">afforded </w:t>
      </w:r>
      <w:r w:rsidR="005B01B6" w:rsidRPr="00214E8E">
        <w:rPr>
          <w:rFonts w:asciiTheme="majorHAnsi" w:hAnsiTheme="majorHAnsi"/>
          <w:sz w:val="24"/>
          <w:szCs w:val="24"/>
        </w:rPr>
        <w:t>by Beecham’</w:t>
      </w:r>
      <w:r w:rsidR="0075359C" w:rsidRPr="00214E8E">
        <w:rPr>
          <w:rFonts w:asciiTheme="majorHAnsi" w:hAnsiTheme="majorHAnsi"/>
          <w:sz w:val="24"/>
          <w:szCs w:val="24"/>
        </w:rPr>
        <w:t xml:space="preserve">s encyclopaedic </w:t>
      </w:r>
      <w:r w:rsidR="00687BC3" w:rsidRPr="00214E8E">
        <w:rPr>
          <w:rFonts w:asciiTheme="majorHAnsi" w:hAnsiTheme="majorHAnsi"/>
          <w:sz w:val="24"/>
          <w:szCs w:val="24"/>
        </w:rPr>
        <w:t xml:space="preserve">composer </w:t>
      </w:r>
      <w:r w:rsidR="0075359C" w:rsidRPr="00214E8E">
        <w:rPr>
          <w:rFonts w:asciiTheme="majorHAnsi" w:hAnsiTheme="majorHAnsi"/>
          <w:sz w:val="24"/>
          <w:szCs w:val="24"/>
        </w:rPr>
        <w:t>festival</w:t>
      </w:r>
      <w:r w:rsidR="00D051CB" w:rsidRPr="00214E8E">
        <w:rPr>
          <w:rFonts w:asciiTheme="majorHAnsi" w:hAnsiTheme="majorHAnsi"/>
          <w:sz w:val="24"/>
          <w:szCs w:val="24"/>
        </w:rPr>
        <w:t xml:space="preserve"> of 1929</w:t>
      </w:r>
      <w:r w:rsidR="005B01B6" w:rsidRPr="00214E8E">
        <w:rPr>
          <w:rFonts w:asciiTheme="majorHAnsi" w:hAnsiTheme="majorHAnsi"/>
          <w:sz w:val="24"/>
          <w:szCs w:val="24"/>
        </w:rPr>
        <w:t>. The Dance’</w:t>
      </w:r>
      <w:r w:rsidR="0075359C" w:rsidRPr="00214E8E">
        <w:rPr>
          <w:rFonts w:asciiTheme="majorHAnsi" w:hAnsiTheme="majorHAnsi"/>
          <w:sz w:val="24"/>
          <w:szCs w:val="24"/>
        </w:rPr>
        <w:t xml:space="preserve">s very instrumentation </w:t>
      </w:r>
      <w:r w:rsidR="00D051CB" w:rsidRPr="00214E8E">
        <w:rPr>
          <w:rFonts w:asciiTheme="majorHAnsi" w:hAnsiTheme="majorHAnsi"/>
          <w:sz w:val="24"/>
          <w:szCs w:val="24"/>
        </w:rPr>
        <w:t xml:space="preserve">would have </w:t>
      </w:r>
      <w:r w:rsidR="0075359C" w:rsidRPr="00214E8E">
        <w:rPr>
          <w:rFonts w:asciiTheme="majorHAnsi" w:hAnsiTheme="majorHAnsi"/>
          <w:sz w:val="24"/>
          <w:szCs w:val="24"/>
        </w:rPr>
        <w:t xml:space="preserve">made for a strange </w:t>
      </w:r>
      <w:r w:rsidR="00687BC3" w:rsidRPr="00214E8E">
        <w:rPr>
          <w:rFonts w:asciiTheme="majorHAnsi" w:hAnsiTheme="majorHAnsi"/>
          <w:sz w:val="24"/>
          <w:szCs w:val="24"/>
        </w:rPr>
        <w:t xml:space="preserve">listing </w:t>
      </w:r>
      <w:r w:rsidR="0075359C" w:rsidRPr="00214E8E">
        <w:rPr>
          <w:rFonts w:asciiTheme="majorHAnsi" w:hAnsiTheme="majorHAnsi"/>
          <w:sz w:val="24"/>
          <w:szCs w:val="24"/>
        </w:rPr>
        <w:t>in the composer</w:t>
      </w:r>
      <w:r w:rsidR="005B01B6" w:rsidRPr="00214E8E">
        <w:rPr>
          <w:rFonts w:asciiTheme="majorHAnsi" w:hAnsiTheme="majorHAnsi"/>
          <w:sz w:val="24"/>
          <w:szCs w:val="24"/>
        </w:rPr>
        <w:t>’</w:t>
      </w:r>
      <w:r w:rsidR="000D1D73" w:rsidRPr="00214E8E">
        <w:rPr>
          <w:rFonts w:asciiTheme="majorHAnsi" w:hAnsiTheme="majorHAnsi"/>
          <w:sz w:val="24"/>
          <w:szCs w:val="24"/>
        </w:rPr>
        <w:t>s catalogue. That said, g</w:t>
      </w:r>
      <w:r w:rsidR="00D051CB" w:rsidRPr="00214E8E">
        <w:rPr>
          <w:rFonts w:asciiTheme="majorHAnsi" w:hAnsiTheme="majorHAnsi"/>
          <w:sz w:val="24"/>
          <w:szCs w:val="24"/>
        </w:rPr>
        <w:t xml:space="preserve">iven </w:t>
      </w:r>
      <w:r w:rsidR="0075359C" w:rsidRPr="00214E8E">
        <w:rPr>
          <w:rFonts w:asciiTheme="majorHAnsi" w:hAnsiTheme="majorHAnsi"/>
          <w:sz w:val="24"/>
          <w:szCs w:val="24"/>
        </w:rPr>
        <w:t xml:space="preserve">the initially wide range of articles </w:t>
      </w:r>
      <w:r w:rsidR="00D051CB" w:rsidRPr="00214E8E">
        <w:rPr>
          <w:rFonts w:asciiTheme="majorHAnsi" w:hAnsiTheme="majorHAnsi"/>
          <w:sz w:val="24"/>
          <w:szCs w:val="24"/>
        </w:rPr>
        <w:t xml:space="preserve">in the new magazine dealing </w:t>
      </w:r>
      <w:r w:rsidR="0075359C" w:rsidRPr="00214E8E">
        <w:rPr>
          <w:rFonts w:asciiTheme="majorHAnsi" w:hAnsiTheme="majorHAnsi"/>
          <w:sz w:val="24"/>
          <w:szCs w:val="24"/>
        </w:rPr>
        <w:t xml:space="preserve">with all periods of music (as </w:t>
      </w:r>
      <w:r w:rsidR="000D1D73" w:rsidRPr="00214E8E">
        <w:rPr>
          <w:rFonts w:asciiTheme="majorHAnsi" w:hAnsiTheme="majorHAnsi"/>
          <w:sz w:val="24"/>
          <w:szCs w:val="24"/>
        </w:rPr>
        <w:t xml:space="preserve">broadly accepted </w:t>
      </w:r>
      <w:r w:rsidR="0075359C" w:rsidRPr="00214E8E">
        <w:rPr>
          <w:rFonts w:asciiTheme="majorHAnsi" w:hAnsiTheme="majorHAnsi"/>
          <w:sz w:val="24"/>
          <w:szCs w:val="24"/>
        </w:rPr>
        <w:t>at the time)</w:t>
      </w:r>
      <w:r w:rsidR="000D1D73" w:rsidRPr="00214E8E">
        <w:rPr>
          <w:rFonts w:asciiTheme="majorHAnsi" w:hAnsiTheme="majorHAnsi"/>
          <w:sz w:val="24"/>
          <w:szCs w:val="24"/>
        </w:rPr>
        <w:t>, the Dance</w:t>
      </w:r>
      <w:r w:rsidR="00687BC3" w:rsidRPr="00214E8E">
        <w:rPr>
          <w:rFonts w:asciiTheme="majorHAnsi" w:hAnsiTheme="majorHAnsi"/>
          <w:sz w:val="24"/>
          <w:szCs w:val="24"/>
        </w:rPr>
        <w:t xml:space="preserve"> </w:t>
      </w:r>
      <w:r w:rsidR="00D051CB" w:rsidRPr="00214E8E">
        <w:rPr>
          <w:rFonts w:asciiTheme="majorHAnsi" w:hAnsiTheme="majorHAnsi"/>
          <w:sz w:val="24"/>
          <w:szCs w:val="24"/>
        </w:rPr>
        <w:t xml:space="preserve">might equally </w:t>
      </w:r>
      <w:r w:rsidR="00687BC3" w:rsidRPr="00214E8E">
        <w:rPr>
          <w:rFonts w:asciiTheme="majorHAnsi" w:hAnsiTheme="majorHAnsi"/>
          <w:sz w:val="24"/>
          <w:szCs w:val="24"/>
        </w:rPr>
        <w:t xml:space="preserve">have been perceived </w:t>
      </w:r>
      <w:r w:rsidR="00D051CB" w:rsidRPr="00214E8E">
        <w:rPr>
          <w:rFonts w:asciiTheme="majorHAnsi" w:hAnsiTheme="majorHAnsi"/>
          <w:sz w:val="24"/>
          <w:szCs w:val="24"/>
        </w:rPr>
        <w:t xml:space="preserve">simply </w:t>
      </w:r>
      <w:r w:rsidR="00687BC3" w:rsidRPr="00214E8E">
        <w:rPr>
          <w:rFonts w:asciiTheme="majorHAnsi" w:hAnsiTheme="majorHAnsi"/>
          <w:sz w:val="24"/>
          <w:szCs w:val="24"/>
        </w:rPr>
        <w:t xml:space="preserve">as </w:t>
      </w:r>
      <w:r w:rsidR="000D1D73" w:rsidRPr="00214E8E">
        <w:rPr>
          <w:rFonts w:asciiTheme="majorHAnsi" w:hAnsiTheme="majorHAnsi"/>
          <w:sz w:val="24"/>
          <w:szCs w:val="24"/>
        </w:rPr>
        <w:t xml:space="preserve">nothing more than </w:t>
      </w:r>
      <w:r w:rsidR="00687BC3" w:rsidRPr="00214E8E">
        <w:rPr>
          <w:rFonts w:asciiTheme="majorHAnsi" w:hAnsiTheme="majorHAnsi"/>
          <w:sz w:val="24"/>
          <w:szCs w:val="24"/>
        </w:rPr>
        <w:t>eccentric</w:t>
      </w:r>
      <w:r w:rsidR="000D1D73" w:rsidRPr="00214E8E">
        <w:rPr>
          <w:rFonts w:asciiTheme="majorHAnsi" w:hAnsiTheme="majorHAnsi"/>
          <w:sz w:val="24"/>
          <w:szCs w:val="24"/>
        </w:rPr>
        <w:t>, as a representative of a recent compositional trend or as r</w:t>
      </w:r>
      <w:r w:rsidR="00BB76C5" w:rsidRPr="00214E8E">
        <w:rPr>
          <w:rFonts w:asciiTheme="majorHAnsi" w:hAnsiTheme="majorHAnsi"/>
          <w:sz w:val="24"/>
          <w:szCs w:val="24"/>
        </w:rPr>
        <w:t>esonating with the cultural world</w:t>
      </w:r>
      <w:r w:rsidR="000D1D73" w:rsidRPr="00214E8E">
        <w:rPr>
          <w:rFonts w:asciiTheme="majorHAnsi" w:hAnsiTheme="majorHAnsi"/>
          <w:sz w:val="24"/>
          <w:szCs w:val="24"/>
        </w:rPr>
        <w:t xml:space="preserve"> of </w:t>
      </w:r>
      <w:r w:rsidR="00BB76C5" w:rsidRPr="00214E8E">
        <w:rPr>
          <w:rFonts w:asciiTheme="majorHAnsi" w:hAnsiTheme="majorHAnsi"/>
          <w:sz w:val="24"/>
          <w:szCs w:val="24"/>
        </w:rPr>
        <w:t>Arnold</w:t>
      </w:r>
      <w:r w:rsidR="000D1D73" w:rsidRPr="00214E8E">
        <w:rPr>
          <w:rFonts w:asciiTheme="majorHAnsi" w:hAnsiTheme="majorHAnsi"/>
          <w:sz w:val="24"/>
          <w:szCs w:val="24"/>
        </w:rPr>
        <w:t xml:space="preserve"> Dolmetsch</w:t>
      </w:r>
      <w:r w:rsidR="002159E5">
        <w:rPr>
          <w:rFonts w:asciiTheme="majorHAnsi" w:hAnsiTheme="majorHAnsi"/>
          <w:sz w:val="24"/>
          <w:szCs w:val="24"/>
        </w:rPr>
        <w:t xml:space="preserve">, </w:t>
      </w:r>
      <w:r w:rsidR="002159E5">
        <w:rPr>
          <w:rFonts w:asciiTheme="majorHAnsi" w:hAnsiTheme="majorHAnsi"/>
          <w:sz w:val="24"/>
          <w:szCs w:val="24"/>
          <w:lang w:val="en"/>
        </w:rPr>
        <w:t xml:space="preserve">alongside </w:t>
      </w:r>
      <w:r w:rsidR="00BB76C5" w:rsidRPr="00214E8E">
        <w:rPr>
          <w:rFonts w:asciiTheme="majorHAnsi" w:hAnsiTheme="majorHAnsi"/>
          <w:sz w:val="24"/>
          <w:szCs w:val="24"/>
          <w:lang w:val="en"/>
        </w:rPr>
        <w:t xml:space="preserve">whom Gordon-Woodhouse </w:t>
      </w:r>
      <w:r w:rsidR="002159E5">
        <w:rPr>
          <w:rFonts w:asciiTheme="majorHAnsi" w:hAnsiTheme="majorHAnsi"/>
          <w:sz w:val="24"/>
          <w:szCs w:val="24"/>
          <w:lang w:val="en"/>
        </w:rPr>
        <w:t>sometimes played</w:t>
      </w:r>
      <w:r w:rsidR="0075359C" w:rsidRPr="00214E8E">
        <w:rPr>
          <w:rFonts w:asciiTheme="majorHAnsi" w:hAnsiTheme="majorHAnsi"/>
          <w:sz w:val="24"/>
          <w:szCs w:val="24"/>
        </w:rPr>
        <w:t xml:space="preserve">. </w:t>
      </w:r>
      <w:r w:rsidR="00D051CB" w:rsidRPr="00214E8E">
        <w:rPr>
          <w:rFonts w:asciiTheme="majorHAnsi" w:hAnsiTheme="majorHAnsi"/>
          <w:sz w:val="24"/>
          <w:szCs w:val="24"/>
        </w:rPr>
        <w:t xml:space="preserve">The </w:t>
      </w:r>
      <w:r w:rsidR="00F004B0" w:rsidRPr="00214E8E">
        <w:rPr>
          <w:rFonts w:asciiTheme="majorHAnsi" w:hAnsiTheme="majorHAnsi"/>
          <w:sz w:val="24"/>
          <w:szCs w:val="24"/>
        </w:rPr>
        <w:t>score</w:t>
      </w:r>
      <w:r w:rsidR="005B01B6" w:rsidRPr="00214E8E">
        <w:rPr>
          <w:rFonts w:asciiTheme="majorHAnsi" w:hAnsiTheme="majorHAnsi"/>
          <w:sz w:val="24"/>
          <w:szCs w:val="24"/>
        </w:rPr>
        <w:t>’</w:t>
      </w:r>
      <w:r w:rsidR="00D051CB" w:rsidRPr="00214E8E">
        <w:rPr>
          <w:rFonts w:asciiTheme="majorHAnsi" w:hAnsiTheme="majorHAnsi"/>
          <w:sz w:val="24"/>
          <w:szCs w:val="24"/>
        </w:rPr>
        <w:t xml:space="preserve">s </w:t>
      </w:r>
      <w:r w:rsidR="00824EF3" w:rsidRPr="00214E8E">
        <w:rPr>
          <w:rFonts w:asciiTheme="majorHAnsi" w:hAnsiTheme="majorHAnsi"/>
          <w:sz w:val="24"/>
          <w:szCs w:val="24"/>
        </w:rPr>
        <w:t xml:space="preserve">bedfellows in the </w:t>
      </w:r>
      <w:r w:rsidR="00D051CB" w:rsidRPr="00214E8E">
        <w:rPr>
          <w:rFonts w:asciiTheme="majorHAnsi" w:hAnsiTheme="majorHAnsi"/>
          <w:sz w:val="24"/>
          <w:szCs w:val="24"/>
        </w:rPr>
        <w:t xml:space="preserve">new magazine </w:t>
      </w:r>
      <w:r w:rsidR="00F004B0" w:rsidRPr="00214E8E">
        <w:rPr>
          <w:rFonts w:asciiTheme="majorHAnsi" w:hAnsiTheme="majorHAnsi"/>
          <w:sz w:val="24"/>
          <w:szCs w:val="24"/>
        </w:rPr>
        <w:t>made for</w:t>
      </w:r>
      <w:r w:rsidR="00687BC3" w:rsidRPr="00214E8E">
        <w:rPr>
          <w:rFonts w:asciiTheme="majorHAnsi" w:hAnsiTheme="majorHAnsi"/>
          <w:sz w:val="24"/>
          <w:szCs w:val="24"/>
        </w:rPr>
        <w:t xml:space="preserve"> a </w:t>
      </w:r>
      <w:r w:rsidR="00F004B0" w:rsidRPr="00214E8E">
        <w:rPr>
          <w:rFonts w:asciiTheme="majorHAnsi" w:hAnsiTheme="majorHAnsi"/>
          <w:sz w:val="24"/>
          <w:szCs w:val="24"/>
        </w:rPr>
        <w:t xml:space="preserve">lovely </w:t>
      </w:r>
      <w:r w:rsidR="00687BC3" w:rsidRPr="00214E8E">
        <w:rPr>
          <w:rFonts w:asciiTheme="majorHAnsi" w:hAnsiTheme="majorHAnsi"/>
          <w:sz w:val="24"/>
          <w:szCs w:val="24"/>
        </w:rPr>
        <w:t>diverse bunch</w:t>
      </w:r>
      <w:r w:rsidR="00F004B0" w:rsidRPr="00214E8E">
        <w:rPr>
          <w:rFonts w:asciiTheme="majorHAnsi" w:hAnsiTheme="majorHAnsi"/>
          <w:sz w:val="24"/>
          <w:szCs w:val="24"/>
        </w:rPr>
        <w:t>, reflecting the catholic taste of the new magazine’s editor</w:t>
      </w:r>
      <w:r w:rsidR="002159E5">
        <w:rPr>
          <w:rFonts w:asciiTheme="majorHAnsi" w:hAnsiTheme="majorHAnsi"/>
          <w:sz w:val="24"/>
          <w:szCs w:val="24"/>
        </w:rPr>
        <w:t xml:space="preserve"> and presumably its target market: educated, keen, and with some practical facility</w:t>
      </w:r>
      <w:r w:rsidR="00F004B0" w:rsidRPr="00214E8E">
        <w:rPr>
          <w:rFonts w:asciiTheme="majorHAnsi" w:hAnsiTheme="majorHAnsi"/>
          <w:sz w:val="24"/>
          <w:szCs w:val="24"/>
        </w:rPr>
        <w:t>. Thus</w:t>
      </w:r>
      <w:r w:rsidR="00D051CB" w:rsidRPr="00214E8E">
        <w:rPr>
          <w:rFonts w:asciiTheme="majorHAnsi" w:hAnsiTheme="majorHAnsi"/>
          <w:sz w:val="24"/>
          <w:szCs w:val="24"/>
        </w:rPr>
        <w:t xml:space="preserve">, </w:t>
      </w:r>
      <w:r w:rsidR="00F004B0" w:rsidRPr="00214E8E">
        <w:rPr>
          <w:rFonts w:asciiTheme="majorHAnsi" w:hAnsiTheme="majorHAnsi"/>
          <w:sz w:val="24"/>
          <w:szCs w:val="24"/>
        </w:rPr>
        <w:t xml:space="preserve">to mention a few of the items, </w:t>
      </w:r>
      <w:r w:rsidR="004562D9" w:rsidRPr="00214E8E">
        <w:rPr>
          <w:rFonts w:asciiTheme="majorHAnsi" w:hAnsiTheme="majorHAnsi"/>
          <w:sz w:val="24"/>
          <w:szCs w:val="24"/>
        </w:rPr>
        <w:t xml:space="preserve">there was </w:t>
      </w:r>
      <w:r w:rsidR="0075359C" w:rsidRPr="00214E8E">
        <w:rPr>
          <w:rFonts w:asciiTheme="majorHAnsi" w:hAnsiTheme="majorHAnsi"/>
          <w:sz w:val="24"/>
          <w:szCs w:val="24"/>
        </w:rPr>
        <w:t xml:space="preserve">an essay on Elgar </w:t>
      </w:r>
      <w:r w:rsidR="00F004B0" w:rsidRPr="00214E8E">
        <w:rPr>
          <w:rFonts w:asciiTheme="majorHAnsi" w:hAnsiTheme="majorHAnsi"/>
          <w:sz w:val="24"/>
          <w:szCs w:val="24"/>
        </w:rPr>
        <w:t xml:space="preserve">by George Bernard Shaw </w:t>
      </w:r>
      <w:r w:rsidR="0075359C" w:rsidRPr="00214E8E">
        <w:rPr>
          <w:rFonts w:asciiTheme="majorHAnsi" w:hAnsiTheme="majorHAnsi"/>
          <w:sz w:val="24"/>
          <w:szCs w:val="24"/>
        </w:rPr>
        <w:t xml:space="preserve">(stylistically of a piece with Delius, </w:t>
      </w:r>
      <w:r w:rsidR="00B76BC5" w:rsidRPr="00214E8E">
        <w:rPr>
          <w:rFonts w:asciiTheme="majorHAnsi" w:hAnsiTheme="majorHAnsi"/>
          <w:sz w:val="24"/>
          <w:szCs w:val="24"/>
        </w:rPr>
        <w:t>one might think;</w:t>
      </w:r>
      <w:r w:rsidR="00F004B0" w:rsidRPr="00214E8E">
        <w:rPr>
          <w:rFonts w:asciiTheme="majorHAnsi" w:hAnsiTheme="majorHAnsi"/>
          <w:sz w:val="24"/>
          <w:szCs w:val="24"/>
        </w:rPr>
        <w:t xml:space="preserve"> </w:t>
      </w:r>
      <w:r w:rsidR="00F004B0" w:rsidRPr="00214E8E">
        <w:rPr>
          <w:rFonts w:asciiTheme="majorHAnsi" w:hAnsiTheme="majorHAnsi"/>
          <w:sz w:val="24"/>
          <w:szCs w:val="24"/>
        </w:rPr>
        <w:lastRenderedPageBreak/>
        <w:t xml:space="preserve">the controversy thrown up by </w:t>
      </w:r>
      <w:r w:rsidR="00C75407" w:rsidRPr="00214E8E">
        <w:rPr>
          <w:rFonts w:asciiTheme="majorHAnsi" w:hAnsiTheme="majorHAnsi"/>
          <w:sz w:val="24"/>
          <w:szCs w:val="24"/>
        </w:rPr>
        <w:t>Shaw</w:t>
      </w:r>
      <w:r w:rsidR="00B76BC5" w:rsidRPr="00214E8E">
        <w:rPr>
          <w:rFonts w:asciiTheme="majorHAnsi" w:hAnsiTheme="majorHAnsi"/>
          <w:sz w:val="24"/>
          <w:szCs w:val="24"/>
        </w:rPr>
        <w:t>’s claims</w:t>
      </w:r>
      <w:r w:rsidR="00C75407" w:rsidRPr="00214E8E">
        <w:rPr>
          <w:rFonts w:asciiTheme="majorHAnsi" w:hAnsiTheme="majorHAnsi"/>
          <w:sz w:val="24"/>
          <w:szCs w:val="24"/>
        </w:rPr>
        <w:t xml:space="preserve"> led to </w:t>
      </w:r>
      <w:r w:rsidR="00F004B0" w:rsidRPr="00214E8E">
        <w:rPr>
          <w:rFonts w:asciiTheme="majorHAnsi" w:hAnsiTheme="majorHAnsi"/>
          <w:sz w:val="24"/>
          <w:szCs w:val="24"/>
        </w:rPr>
        <w:t xml:space="preserve">Elgar himself </w:t>
      </w:r>
      <w:r w:rsidR="00C75407" w:rsidRPr="00214E8E">
        <w:rPr>
          <w:rFonts w:asciiTheme="majorHAnsi" w:hAnsiTheme="majorHAnsi"/>
          <w:sz w:val="24"/>
          <w:szCs w:val="24"/>
        </w:rPr>
        <w:t xml:space="preserve">writing </w:t>
      </w:r>
      <w:r w:rsidR="00F004B0" w:rsidRPr="00214E8E">
        <w:rPr>
          <w:rFonts w:asciiTheme="majorHAnsi" w:hAnsiTheme="majorHAnsi"/>
          <w:sz w:val="24"/>
          <w:szCs w:val="24"/>
        </w:rPr>
        <w:t>a corrective note to the magazine);</w:t>
      </w:r>
      <w:r w:rsidR="0075359C" w:rsidRPr="00214E8E">
        <w:rPr>
          <w:rFonts w:asciiTheme="majorHAnsi" w:hAnsiTheme="majorHAnsi"/>
          <w:sz w:val="24"/>
          <w:szCs w:val="24"/>
        </w:rPr>
        <w:t xml:space="preserve"> an essay on church music (</w:t>
      </w:r>
      <w:r w:rsidR="00F004B0" w:rsidRPr="00214E8E">
        <w:rPr>
          <w:rFonts w:asciiTheme="majorHAnsi" w:hAnsiTheme="majorHAnsi"/>
          <w:sz w:val="24"/>
          <w:szCs w:val="24"/>
        </w:rPr>
        <w:t xml:space="preserve">perhaps not the most </w:t>
      </w:r>
      <w:r w:rsidR="0075359C" w:rsidRPr="00214E8E">
        <w:rPr>
          <w:rFonts w:asciiTheme="majorHAnsi" w:hAnsiTheme="majorHAnsi"/>
          <w:sz w:val="24"/>
          <w:szCs w:val="24"/>
        </w:rPr>
        <w:t xml:space="preserve">obvious </w:t>
      </w:r>
      <w:r w:rsidR="00687BC3" w:rsidRPr="00214E8E">
        <w:rPr>
          <w:rFonts w:asciiTheme="majorHAnsi" w:hAnsiTheme="majorHAnsi"/>
          <w:sz w:val="24"/>
          <w:szCs w:val="24"/>
        </w:rPr>
        <w:t xml:space="preserve">place to </w:t>
      </w:r>
      <w:r w:rsidR="0075359C" w:rsidRPr="00214E8E">
        <w:rPr>
          <w:rFonts w:asciiTheme="majorHAnsi" w:hAnsiTheme="majorHAnsi"/>
          <w:sz w:val="24"/>
          <w:szCs w:val="24"/>
        </w:rPr>
        <w:t>loc</w:t>
      </w:r>
      <w:r w:rsidR="00687BC3" w:rsidRPr="00214E8E">
        <w:rPr>
          <w:rFonts w:asciiTheme="majorHAnsi" w:hAnsiTheme="majorHAnsi"/>
          <w:sz w:val="24"/>
          <w:szCs w:val="24"/>
        </w:rPr>
        <w:t xml:space="preserve">ate </w:t>
      </w:r>
      <w:r w:rsidR="0075359C" w:rsidRPr="00214E8E">
        <w:rPr>
          <w:rFonts w:asciiTheme="majorHAnsi" w:hAnsiTheme="majorHAnsi"/>
          <w:sz w:val="24"/>
          <w:szCs w:val="24"/>
        </w:rPr>
        <w:t>Delius</w:t>
      </w:r>
      <w:r w:rsidR="005B01B6" w:rsidRPr="00214E8E">
        <w:rPr>
          <w:rFonts w:asciiTheme="majorHAnsi" w:hAnsiTheme="majorHAnsi"/>
          <w:sz w:val="24"/>
          <w:szCs w:val="24"/>
        </w:rPr>
        <w:t>’</w:t>
      </w:r>
      <w:r w:rsidR="00F004B0" w:rsidRPr="00214E8E">
        <w:rPr>
          <w:rFonts w:asciiTheme="majorHAnsi" w:hAnsiTheme="majorHAnsi"/>
          <w:sz w:val="24"/>
          <w:szCs w:val="24"/>
        </w:rPr>
        <w:t>s aesthetic);</w:t>
      </w:r>
      <w:r w:rsidR="0075359C" w:rsidRPr="00214E8E">
        <w:rPr>
          <w:rFonts w:asciiTheme="majorHAnsi" w:hAnsiTheme="majorHAnsi"/>
          <w:sz w:val="24"/>
          <w:szCs w:val="24"/>
        </w:rPr>
        <w:t xml:space="preserve"> a short </w:t>
      </w:r>
      <w:r w:rsidR="00F004B0" w:rsidRPr="00214E8E">
        <w:rPr>
          <w:rFonts w:asciiTheme="majorHAnsi" w:hAnsiTheme="majorHAnsi"/>
          <w:sz w:val="24"/>
          <w:szCs w:val="24"/>
        </w:rPr>
        <w:t xml:space="preserve">and rather charming two-verse </w:t>
      </w:r>
      <w:r w:rsidR="0075359C" w:rsidRPr="00214E8E">
        <w:rPr>
          <w:rFonts w:asciiTheme="majorHAnsi" w:hAnsiTheme="majorHAnsi"/>
          <w:sz w:val="24"/>
          <w:szCs w:val="24"/>
        </w:rPr>
        <w:t>poem by Laurence Binyon (</w:t>
      </w:r>
      <w:r w:rsidR="00687BC3" w:rsidRPr="00214E8E">
        <w:rPr>
          <w:rFonts w:asciiTheme="majorHAnsi" w:hAnsiTheme="majorHAnsi"/>
          <w:sz w:val="24"/>
          <w:szCs w:val="24"/>
        </w:rPr>
        <w:t xml:space="preserve">somewhat </w:t>
      </w:r>
      <w:r w:rsidR="0075359C" w:rsidRPr="00214E8E">
        <w:rPr>
          <w:rFonts w:asciiTheme="majorHAnsi" w:hAnsiTheme="majorHAnsi"/>
          <w:sz w:val="24"/>
          <w:szCs w:val="24"/>
        </w:rPr>
        <w:t xml:space="preserve">closer to </w:t>
      </w:r>
      <w:r w:rsidR="00687BC3" w:rsidRPr="00214E8E">
        <w:rPr>
          <w:rFonts w:asciiTheme="majorHAnsi" w:hAnsiTheme="majorHAnsi"/>
          <w:sz w:val="24"/>
          <w:szCs w:val="24"/>
        </w:rPr>
        <w:t xml:space="preserve">a </w:t>
      </w:r>
      <w:r w:rsidR="0075359C" w:rsidRPr="00214E8E">
        <w:rPr>
          <w:rFonts w:asciiTheme="majorHAnsi" w:hAnsiTheme="majorHAnsi"/>
          <w:sz w:val="24"/>
          <w:szCs w:val="24"/>
        </w:rPr>
        <w:t xml:space="preserve">Delian </w:t>
      </w:r>
      <w:r w:rsidR="00824EF3" w:rsidRPr="00214E8E">
        <w:rPr>
          <w:rFonts w:asciiTheme="majorHAnsi" w:hAnsiTheme="majorHAnsi"/>
          <w:sz w:val="24"/>
          <w:szCs w:val="24"/>
        </w:rPr>
        <w:t>aesthetic</w:t>
      </w:r>
      <w:r w:rsidR="00F004B0" w:rsidRPr="00214E8E">
        <w:rPr>
          <w:rFonts w:asciiTheme="majorHAnsi" w:hAnsiTheme="majorHAnsi"/>
          <w:sz w:val="24"/>
          <w:szCs w:val="24"/>
        </w:rPr>
        <w:t>);</w:t>
      </w:r>
      <w:r w:rsidR="004C5F13" w:rsidRPr="00214E8E">
        <w:rPr>
          <w:rFonts w:asciiTheme="majorHAnsi" w:hAnsiTheme="majorHAnsi"/>
          <w:sz w:val="24"/>
          <w:szCs w:val="24"/>
        </w:rPr>
        <w:t xml:space="preserve"> </w:t>
      </w:r>
      <w:r w:rsidR="002159E5">
        <w:rPr>
          <w:rFonts w:asciiTheme="majorHAnsi" w:hAnsiTheme="majorHAnsi"/>
          <w:sz w:val="24"/>
          <w:szCs w:val="24"/>
        </w:rPr>
        <w:t xml:space="preserve">part one of </w:t>
      </w:r>
      <w:r w:rsidR="0075359C" w:rsidRPr="00214E8E">
        <w:rPr>
          <w:rFonts w:asciiTheme="majorHAnsi" w:hAnsiTheme="majorHAnsi"/>
          <w:sz w:val="24"/>
          <w:szCs w:val="24"/>
        </w:rPr>
        <w:t>an</w:t>
      </w:r>
      <w:r w:rsidR="002159E5">
        <w:rPr>
          <w:rFonts w:asciiTheme="majorHAnsi" w:hAnsiTheme="majorHAnsi"/>
          <w:sz w:val="24"/>
          <w:szCs w:val="24"/>
        </w:rPr>
        <w:t xml:space="preserve"> extended</w:t>
      </w:r>
      <w:r w:rsidR="0075359C" w:rsidRPr="00214E8E">
        <w:rPr>
          <w:rFonts w:asciiTheme="majorHAnsi" w:hAnsiTheme="majorHAnsi"/>
          <w:sz w:val="24"/>
          <w:szCs w:val="24"/>
        </w:rPr>
        <w:t xml:space="preserve"> essay on the future of English song</w:t>
      </w:r>
      <w:r w:rsidR="0069117D" w:rsidRPr="00214E8E">
        <w:rPr>
          <w:rFonts w:asciiTheme="majorHAnsi" w:hAnsiTheme="majorHAnsi"/>
          <w:sz w:val="24"/>
          <w:szCs w:val="24"/>
        </w:rPr>
        <w:t xml:space="preserve"> by the well-known Irish baritone Harry Plunket Greene</w:t>
      </w:r>
      <w:r w:rsidR="0075359C" w:rsidRPr="00214E8E">
        <w:rPr>
          <w:rFonts w:asciiTheme="majorHAnsi" w:hAnsiTheme="majorHAnsi"/>
          <w:sz w:val="24"/>
          <w:szCs w:val="24"/>
        </w:rPr>
        <w:t xml:space="preserve"> (</w:t>
      </w:r>
      <w:r w:rsidR="00F004B0" w:rsidRPr="00214E8E">
        <w:rPr>
          <w:rFonts w:asciiTheme="majorHAnsi" w:hAnsiTheme="majorHAnsi"/>
          <w:sz w:val="24"/>
          <w:szCs w:val="24"/>
        </w:rPr>
        <w:t>Delius was not mentioned);</w:t>
      </w:r>
      <w:r w:rsidR="0075359C" w:rsidRPr="00214E8E">
        <w:rPr>
          <w:rFonts w:asciiTheme="majorHAnsi" w:hAnsiTheme="majorHAnsi"/>
          <w:sz w:val="24"/>
          <w:szCs w:val="24"/>
        </w:rPr>
        <w:t xml:space="preserve"> and an essay </w:t>
      </w:r>
      <w:r w:rsidR="004562D9" w:rsidRPr="00214E8E">
        <w:rPr>
          <w:rFonts w:asciiTheme="majorHAnsi" w:hAnsiTheme="majorHAnsi"/>
          <w:sz w:val="24"/>
          <w:szCs w:val="24"/>
        </w:rPr>
        <w:t>by Gordon-Woodhouse</w:t>
      </w:r>
      <w:r w:rsidR="00687BC3" w:rsidRPr="00214E8E">
        <w:rPr>
          <w:rFonts w:asciiTheme="majorHAnsi" w:hAnsiTheme="majorHAnsi"/>
          <w:sz w:val="24"/>
          <w:szCs w:val="24"/>
        </w:rPr>
        <w:t xml:space="preserve"> (the dedicatee</w:t>
      </w:r>
      <w:r w:rsidR="00F004B0" w:rsidRPr="00214E8E">
        <w:rPr>
          <w:rFonts w:asciiTheme="majorHAnsi" w:hAnsiTheme="majorHAnsi"/>
          <w:sz w:val="24"/>
          <w:szCs w:val="24"/>
        </w:rPr>
        <w:t xml:space="preserve"> of Delius’ Dance</w:t>
      </w:r>
      <w:r w:rsidR="00687BC3" w:rsidRPr="00214E8E">
        <w:rPr>
          <w:rFonts w:asciiTheme="majorHAnsi" w:hAnsiTheme="majorHAnsi"/>
          <w:sz w:val="24"/>
          <w:szCs w:val="24"/>
        </w:rPr>
        <w:t>)</w:t>
      </w:r>
      <w:r w:rsidR="004562D9" w:rsidRPr="00214E8E">
        <w:rPr>
          <w:rFonts w:asciiTheme="majorHAnsi" w:hAnsiTheme="majorHAnsi"/>
          <w:sz w:val="24"/>
          <w:szCs w:val="24"/>
        </w:rPr>
        <w:t xml:space="preserve"> on </w:t>
      </w:r>
      <w:r w:rsidR="005B01B6" w:rsidRPr="00214E8E">
        <w:rPr>
          <w:rFonts w:asciiTheme="majorHAnsi" w:eastAsia="Times New Roman" w:hAnsiTheme="majorHAnsi"/>
          <w:sz w:val="24"/>
          <w:szCs w:val="24"/>
        </w:rPr>
        <w:t>‘</w:t>
      </w:r>
      <w:r w:rsidR="004562D9" w:rsidRPr="00214E8E">
        <w:rPr>
          <w:rFonts w:asciiTheme="majorHAnsi" w:eastAsia="Times New Roman" w:hAnsiTheme="majorHAnsi"/>
          <w:sz w:val="24"/>
          <w:szCs w:val="24"/>
        </w:rPr>
        <w:t>Old Keyed Instruments and their Music</w:t>
      </w:r>
      <w:r w:rsidR="005B01B6" w:rsidRPr="00214E8E">
        <w:rPr>
          <w:rFonts w:asciiTheme="majorHAnsi" w:eastAsia="Times New Roman" w:hAnsiTheme="majorHAnsi"/>
          <w:sz w:val="24"/>
          <w:szCs w:val="24"/>
        </w:rPr>
        <w:t>’</w:t>
      </w:r>
      <w:r w:rsidR="005A1361" w:rsidRPr="00214E8E">
        <w:rPr>
          <w:rFonts w:asciiTheme="majorHAnsi" w:hAnsiTheme="majorHAnsi"/>
          <w:sz w:val="24"/>
          <w:szCs w:val="24"/>
        </w:rPr>
        <w:t>.</w:t>
      </w:r>
      <w:r w:rsidR="00F004B0" w:rsidRPr="00214E8E">
        <w:rPr>
          <w:rStyle w:val="EndnoteReference"/>
          <w:rFonts w:asciiTheme="majorHAnsi" w:hAnsiTheme="majorHAnsi"/>
          <w:sz w:val="24"/>
          <w:szCs w:val="24"/>
        </w:rPr>
        <w:endnoteReference w:id="12"/>
      </w:r>
      <w:r w:rsidR="002159E5">
        <w:rPr>
          <w:rFonts w:asciiTheme="majorHAnsi" w:hAnsiTheme="majorHAnsi"/>
          <w:sz w:val="24"/>
          <w:szCs w:val="24"/>
        </w:rPr>
        <w:t xml:space="preserve"> This last essay</w:t>
      </w:r>
      <w:r w:rsidR="00687BC3" w:rsidRPr="00214E8E">
        <w:rPr>
          <w:rFonts w:asciiTheme="majorHAnsi" w:hAnsiTheme="majorHAnsi"/>
          <w:sz w:val="24"/>
          <w:szCs w:val="24"/>
        </w:rPr>
        <w:t xml:space="preserve"> would at least have afforded the music some kind of stylistically appropriate foil</w:t>
      </w:r>
      <w:r w:rsidR="00C75407" w:rsidRPr="00214E8E">
        <w:rPr>
          <w:rFonts w:asciiTheme="majorHAnsi" w:hAnsiTheme="majorHAnsi"/>
          <w:sz w:val="24"/>
          <w:szCs w:val="24"/>
        </w:rPr>
        <w:t>. N</w:t>
      </w:r>
      <w:r w:rsidR="002159E5">
        <w:rPr>
          <w:rFonts w:asciiTheme="majorHAnsi" w:hAnsiTheme="majorHAnsi"/>
          <w:sz w:val="24"/>
          <w:szCs w:val="24"/>
        </w:rPr>
        <w:t>o doubt the</w:t>
      </w:r>
      <w:r w:rsidR="000D1D73" w:rsidRPr="00214E8E">
        <w:rPr>
          <w:rFonts w:asciiTheme="majorHAnsi" w:hAnsiTheme="majorHAnsi"/>
          <w:sz w:val="24"/>
          <w:szCs w:val="24"/>
        </w:rPr>
        <w:t xml:space="preserve"> placing of the </w:t>
      </w:r>
      <w:r w:rsidR="00C75407" w:rsidRPr="00214E8E">
        <w:rPr>
          <w:rFonts w:asciiTheme="majorHAnsi" w:hAnsiTheme="majorHAnsi"/>
          <w:sz w:val="24"/>
          <w:szCs w:val="24"/>
        </w:rPr>
        <w:t xml:space="preserve">score </w:t>
      </w:r>
      <w:r w:rsidR="000D1D73" w:rsidRPr="00214E8E">
        <w:rPr>
          <w:rFonts w:asciiTheme="majorHAnsi" w:hAnsiTheme="majorHAnsi"/>
          <w:sz w:val="24"/>
          <w:szCs w:val="24"/>
        </w:rPr>
        <w:t>at the end of the inaugural issue lodged in Dyson’s mind when he was compiling score examples for his</w:t>
      </w:r>
      <w:r w:rsidR="00C75407" w:rsidRPr="00214E8E">
        <w:rPr>
          <w:rFonts w:asciiTheme="majorHAnsi" w:hAnsiTheme="majorHAnsi"/>
          <w:sz w:val="24"/>
          <w:szCs w:val="24"/>
        </w:rPr>
        <w:t xml:space="preserve"> own</w:t>
      </w:r>
      <w:r w:rsidR="000D1D73" w:rsidRPr="00214E8E">
        <w:rPr>
          <w:rFonts w:asciiTheme="majorHAnsi" w:hAnsiTheme="majorHAnsi"/>
          <w:sz w:val="24"/>
          <w:szCs w:val="24"/>
        </w:rPr>
        <w:t xml:space="preserve"> book</w:t>
      </w:r>
      <w:r w:rsidR="002159E5">
        <w:rPr>
          <w:rFonts w:asciiTheme="majorHAnsi" w:hAnsiTheme="majorHAnsi"/>
          <w:sz w:val="24"/>
          <w:szCs w:val="24"/>
        </w:rPr>
        <w:t xml:space="preserve"> a couple of years later</w:t>
      </w:r>
      <w:r w:rsidR="00687BC3" w:rsidRPr="00214E8E">
        <w:rPr>
          <w:rFonts w:asciiTheme="majorHAnsi" w:hAnsiTheme="majorHAnsi"/>
          <w:sz w:val="24"/>
          <w:szCs w:val="24"/>
        </w:rPr>
        <w:t>.</w:t>
      </w:r>
    </w:p>
    <w:p w:rsidR="00C75407" w:rsidRPr="00214E8E" w:rsidRDefault="001F4259" w:rsidP="002B5EBF">
      <w:pPr>
        <w:pStyle w:val="PlainText"/>
        <w:spacing w:line="480" w:lineRule="auto"/>
        <w:ind w:firstLine="720"/>
        <w:rPr>
          <w:rFonts w:asciiTheme="majorHAnsi" w:hAnsiTheme="majorHAnsi"/>
          <w:sz w:val="24"/>
          <w:szCs w:val="24"/>
        </w:rPr>
      </w:pPr>
      <w:r w:rsidRPr="00214E8E">
        <w:rPr>
          <w:rFonts w:asciiTheme="majorHAnsi" w:hAnsiTheme="majorHAnsi"/>
          <w:i/>
          <w:sz w:val="24"/>
          <w:szCs w:val="24"/>
        </w:rPr>
        <w:t>Music and Letters</w:t>
      </w:r>
      <w:r w:rsidRPr="00214E8E">
        <w:rPr>
          <w:rFonts w:asciiTheme="majorHAnsi" w:hAnsiTheme="majorHAnsi"/>
          <w:sz w:val="24"/>
          <w:szCs w:val="24"/>
        </w:rPr>
        <w:t xml:space="preserve"> was</w:t>
      </w:r>
      <w:r w:rsidR="0075359C" w:rsidRPr="00214E8E">
        <w:rPr>
          <w:rFonts w:asciiTheme="majorHAnsi" w:hAnsiTheme="majorHAnsi"/>
          <w:sz w:val="24"/>
          <w:szCs w:val="24"/>
        </w:rPr>
        <w:t xml:space="preserve"> </w:t>
      </w:r>
      <w:r w:rsidRPr="00214E8E">
        <w:rPr>
          <w:rFonts w:asciiTheme="majorHAnsi" w:hAnsiTheme="majorHAnsi"/>
          <w:sz w:val="24"/>
          <w:szCs w:val="24"/>
        </w:rPr>
        <w:t xml:space="preserve">set up, financed and </w:t>
      </w:r>
      <w:r w:rsidR="0052612C" w:rsidRPr="00214E8E">
        <w:rPr>
          <w:rFonts w:asciiTheme="majorHAnsi" w:hAnsiTheme="majorHAnsi"/>
          <w:sz w:val="24"/>
          <w:szCs w:val="24"/>
        </w:rPr>
        <w:t>edited by</w:t>
      </w:r>
      <w:r w:rsidRPr="00214E8E">
        <w:rPr>
          <w:rFonts w:asciiTheme="majorHAnsi" w:hAnsiTheme="majorHAnsi"/>
          <w:sz w:val="24"/>
          <w:szCs w:val="24"/>
        </w:rPr>
        <w:t xml:space="preserve"> Arthur Henry Fox Strangways (1859-1948), a critic from </w:t>
      </w:r>
      <w:r w:rsidRPr="00214E8E">
        <w:rPr>
          <w:rFonts w:asciiTheme="majorHAnsi" w:hAnsiTheme="majorHAnsi"/>
          <w:i/>
          <w:sz w:val="24"/>
          <w:szCs w:val="24"/>
        </w:rPr>
        <w:t>The Times</w:t>
      </w:r>
      <w:r w:rsidRPr="00214E8E">
        <w:rPr>
          <w:rFonts w:asciiTheme="majorHAnsi" w:hAnsiTheme="majorHAnsi"/>
          <w:sz w:val="24"/>
          <w:szCs w:val="24"/>
        </w:rPr>
        <w:t xml:space="preserve">. </w:t>
      </w:r>
      <w:r w:rsidR="002159E5">
        <w:rPr>
          <w:rFonts w:asciiTheme="majorHAnsi" w:hAnsiTheme="majorHAnsi"/>
          <w:sz w:val="24"/>
          <w:szCs w:val="24"/>
        </w:rPr>
        <w:t xml:space="preserve">It seems that Delius </w:t>
      </w:r>
      <w:r w:rsidRPr="00214E8E">
        <w:rPr>
          <w:rFonts w:asciiTheme="majorHAnsi" w:hAnsiTheme="majorHAnsi"/>
          <w:sz w:val="24"/>
          <w:szCs w:val="24"/>
        </w:rPr>
        <w:t>was quite dismissive of Strangways</w:t>
      </w:r>
      <w:r w:rsidR="005B01B6" w:rsidRPr="00214E8E">
        <w:rPr>
          <w:rFonts w:asciiTheme="majorHAnsi" w:hAnsiTheme="majorHAnsi"/>
          <w:sz w:val="24"/>
          <w:szCs w:val="24"/>
        </w:rPr>
        <w:t>’</w:t>
      </w:r>
      <w:r w:rsidR="00C75407" w:rsidRPr="00214E8E">
        <w:rPr>
          <w:rFonts w:asciiTheme="majorHAnsi" w:hAnsiTheme="majorHAnsi"/>
          <w:sz w:val="24"/>
          <w:szCs w:val="24"/>
        </w:rPr>
        <w:t xml:space="preserve"> musical judgement.</w:t>
      </w:r>
      <w:r w:rsidR="0052612C" w:rsidRPr="00214E8E">
        <w:rPr>
          <w:rStyle w:val="EndnoteReference"/>
          <w:rFonts w:asciiTheme="majorHAnsi" w:hAnsiTheme="majorHAnsi"/>
          <w:sz w:val="24"/>
          <w:szCs w:val="24"/>
        </w:rPr>
        <w:endnoteReference w:id="13"/>
      </w:r>
      <w:r w:rsidR="0075359C" w:rsidRPr="00214E8E">
        <w:rPr>
          <w:rFonts w:asciiTheme="majorHAnsi" w:hAnsiTheme="majorHAnsi"/>
          <w:sz w:val="24"/>
          <w:szCs w:val="24"/>
        </w:rPr>
        <w:t xml:space="preserve"> </w:t>
      </w:r>
      <w:r w:rsidR="00C75407" w:rsidRPr="00214E8E">
        <w:rPr>
          <w:rFonts w:asciiTheme="majorHAnsi" w:hAnsiTheme="majorHAnsi"/>
          <w:sz w:val="24"/>
          <w:szCs w:val="24"/>
        </w:rPr>
        <w:t xml:space="preserve">Nevertheless, </w:t>
      </w:r>
      <w:r w:rsidR="002159E5">
        <w:rPr>
          <w:rFonts w:asciiTheme="majorHAnsi" w:hAnsiTheme="majorHAnsi"/>
          <w:sz w:val="24"/>
          <w:szCs w:val="24"/>
        </w:rPr>
        <w:t xml:space="preserve">his </w:t>
      </w:r>
      <w:r w:rsidRPr="00214E8E">
        <w:rPr>
          <w:rFonts w:asciiTheme="majorHAnsi" w:hAnsiTheme="majorHAnsi"/>
          <w:sz w:val="24"/>
          <w:szCs w:val="24"/>
        </w:rPr>
        <w:t xml:space="preserve">decision to publish his piece in this new outlet, </w:t>
      </w:r>
      <w:r w:rsidR="00785EF5" w:rsidRPr="00214E8E">
        <w:rPr>
          <w:rFonts w:asciiTheme="majorHAnsi" w:hAnsiTheme="majorHAnsi"/>
          <w:sz w:val="24"/>
          <w:szCs w:val="24"/>
        </w:rPr>
        <w:t xml:space="preserve">and thus </w:t>
      </w:r>
      <w:r w:rsidRPr="00214E8E">
        <w:rPr>
          <w:rFonts w:asciiTheme="majorHAnsi" w:hAnsiTheme="majorHAnsi"/>
          <w:sz w:val="24"/>
          <w:szCs w:val="24"/>
        </w:rPr>
        <w:t xml:space="preserve">his </w:t>
      </w:r>
      <w:r w:rsidR="003632D0" w:rsidRPr="00214E8E">
        <w:rPr>
          <w:rFonts w:asciiTheme="majorHAnsi" w:hAnsiTheme="majorHAnsi"/>
          <w:sz w:val="24"/>
          <w:szCs w:val="24"/>
        </w:rPr>
        <w:t xml:space="preserve">implicit </w:t>
      </w:r>
      <w:r w:rsidR="0052612C" w:rsidRPr="00214E8E">
        <w:rPr>
          <w:rFonts w:asciiTheme="majorHAnsi" w:hAnsiTheme="majorHAnsi"/>
          <w:sz w:val="24"/>
          <w:szCs w:val="24"/>
        </w:rPr>
        <w:t>subscription</w:t>
      </w:r>
      <w:r w:rsidR="00785EF5" w:rsidRPr="00214E8E">
        <w:rPr>
          <w:rFonts w:asciiTheme="majorHAnsi" w:hAnsiTheme="majorHAnsi"/>
          <w:sz w:val="24"/>
          <w:szCs w:val="24"/>
        </w:rPr>
        <w:t xml:space="preserve"> </w:t>
      </w:r>
      <w:r w:rsidRPr="00214E8E">
        <w:rPr>
          <w:rFonts w:asciiTheme="majorHAnsi" w:hAnsiTheme="majorHAnsi"/>
          <w:sz w:val="24"/>
          <w:szCs w:val="24"/>
        </w:rPr>
        <w:t xml:space="preserve">to </w:t>
      </w:r>
      <w:r w:rsidR="00785EF5" w:rsidRPr="00214E8E">
        <w:rPr>
          <w:rFonts w:asciiTheme="majorHAnsi" w:hAnsiTheme="majorHAnsi"/>
          <w:sz w:val="24"/>
          <w:szCs w:val="24"/>
        </w:rPr>
        <w:t xml:space="preserve">its educational mission, </w:t>
      </w:r>
      <w:r w:rsidR="0075359C" w:rsidRPr="00214E8E">
        <w:rPr>
          <w:rFonts w:asciiTheme="majorHAnsi" w:hAnsiTheme="majorHAnsi"/>
          <w:sz w:val="24"/>
          <w:szCs w:val="24"/>
        </w:rPr>
        <w:t xml:space="preserve">would not have led anybody, least of </w:t>
      </w:r>
      <w:r w:rsidR="00C75407" w:rsidRPr="00214E8E">
        <w:rPr>
          <w:rFonts w:asciiTheme="majorHAnsi" w:hAnsiTheme="majorHAnsi"/>
          <w:sz w:val="24"/>
          <w:szCs w:val="24"/>
        </w:rPr>
        <w:t xml:space="preserve">the composer </w:t>
      </w:r>
      <w:r w:rsidR="0075359C" w:rsidRPr="00214E8E">
        <w:rPr>
          <w:rFonts w:asciiTheme="majorHAnsi" w:hAnsiTheme="majorHAnsi"/>
          <w:sz w:val="24"/>
          <w:szCs w:val="24"/>
        </w:rPr>
        <w:t xml:space="preserve">himself, to predict a flurry of interest in </w:t>
      </w:r>
      <w:r w:rsidR="005A1361" w:rsidRPr="00214E8E">
        <w:rPr>
          <w:rFonts w:asciiTheme="majorHAnsi" w:hAnsiTheme="majorHAnsi"/>
          <w:sz w:val="24"/>
          <w:szCs w:val="24"/>
        </w:rPr>
        <w:t xml:space="preserve">either </w:t>
      </w:r>
      <w:r w:rsidR="0075359C" w:rsidRPr="00214E8E">
        <w:rPr>
          <w:rFonts w:asciiTheme="majorHAnsi" w:hAnsiTheme="majorHAnsi"/>
          <w:sz w:val="24"/>
          <w:szCs w:val="24"/>
        </w:rPr>
        <w:t xml:space="preserve">the </w:t>
      </w:r>
      <w:r w:rsidR="00C75407" w:rsidRPr="00214E8E">
        <w:rPr>
          <w:rFonts w:asciiTheme="majorHAnsi" w:hAnsiTheme="majorHAnsi"/>
          <w:sz w:val="24"/>
          <w:szCs w:val="24"/>
        </w:rPr>
        <w:t xml:space="preserve">man </w:t>
      </w:r>
      <w:r w:rsidR="0075359C" w:rsidRPr="00214E8E">
        <w:rPr>
          <w:rFonts w:asciiTheme="majorHAnsi" w:hAnsiTheme="majorHAnsi"/>
          <w:sz w:val="24"/>
          <w:szCs w:val="24"/>
        </w:rPr>
        <w:t>or his music</w:t>
      </w:r>
      <w:r w:rsidR="0059283A" w:rsidRPr="00214E8E">
        <w:rPr>
          <w:rFonts w:asciiTheme="majorHAnsi" w:hAnsiTheme="majorHAnsi"/>
          <w:sz w:val="24"/>
          <w:szCs w:val="24"/>
        </w:rPr>
        <w:t>, especially not the Dance</w:t>
      </w:r>
      <w:r w:rsidR="00C75407" w:rsidRPr="00214E8E">
        <w:rPr>
          <w:rFonts w:asciiTheme="majorHAnsi" w:hAnsiTheme="majorHAnsi"/>
          <w:sz w:val="24"/>
          <w:szCs w:val="24"/>
        </w:rPr>
        <w:t>, however widely anticipated the new magazine</w:t>
      </w:r>
      <w:r w:rsidR="002159E5">
        <w:rPr>
          <w:rFonts w:asciiTheme="majorHAnsi" w:hAnsiTheme="majorHAnsi"/>
          <w:sz w:val="24"/>
          <w:szCs w:val="24"/>
        </w:rPr>
        <w:t xml:space="preserve"> might have been</w:t>
      </w:r>
      <w:r w:rsidR="0052612C" w:rsidRPr="00214E8E">
        <w:rPr>
          <w:rFonts w:asciiTheme="majorHAnsi" w:hAnsiTheme="majorHAnsi"/>
          <w:sz w:val="24"/>
          <w:szCs w:val="24"/>
        </w:rPr>
        <w:t xml:space="preserve">. Delius received a complimentary copy of </w:t>
      </w:r>
      <w:r w:rsidR="00C75407" w:rsidRPr="00214E8E">
        <w:rPr>
          <w:rFonts w:asciiTheme="majorHAnsi" w:hAnsiTheme="majorHAnsi"/>
          <w:i/>
          <w:sz w:val="24"/>
          <w:szCs w:val="24"/>
        </w:rPr>
        <w:t>Music and Letters</w:t>
      </w:r>
      <w:r w:rsidR="00C75407" w:rsidRPr="00214E8E">
        <w:rPr>
          <w:rFonts w:asciiTheme="majorHAnsi" w:hAnsiTheme="majorHAnsi"/>
          <w:sz w:val="24"/>
          <w:szCs w:val="24"/>
        </w:rPr>
        <w:t xml:space="preserve"> </w:t>
      </w:r>
      <w:r w:rsidR="0052612C" w:rsidRPr="00214E8E">
        <w:rPr>
          <w:rFonts w:asciiTheme="majorHAnsi" w:hAnsiTheme="majorHAnsi"/>
          <w:sz w:val="24"/>
          <w:szCs w:val="24"/>
        </w:rPr>
        <w:t>some time before 24 March 1920, by</w:t>
      </w:r>
      <w:r w:rsidR="00C75407" w:rsidRPr="00214E8E">
        <w:rPr>
          <w:rFonts w:asciiTheme="majorHAnsi" w:hAnsiTheme="majorHAnsi"/>
          <w:sz w:val="24"/>
          <w:szCs w:val="24"/>
        </w:rPr>
        <w:t xml:space="preserve"> which time he </w:t>
      </w:r>
      <w:r w:rsidR="002159E5">
        <w:rPr>
          <w:rFonts w:asciiTheme="majorHAnsi" w:hAnsiTheme="majorHAnsi"/>
          <w:sz w:val="24"/>
          <w:szCs w:val="24"/>
        </w:rPr>
        <w:t xml:space="preserve">had arrived </w:t>
      </w:r>
      <w:r w:rsidR="0052612C" w:rsidRPr="00214E8E">
        <w:rPr>
          <w:rFonts w:asciiTheme="majorHAnsi" w:hAnsiTheme="majorHAnsi"/>
          <w:sz w:val="24"/>
          <w:szCs w:val="24"/>
        </w:rPr>
        <w:t xml:space="preserve">back </w:t>
      </w:r>
      <w:r w:rsidR="0059283A" w:rsidRPr="00214E8E">
        <w:rPr>
          <w:rFonts w:asciiTheme="majorHAnsi" w:hAnsiTheme="majorHAnsi"/>
          <w:sz w:val="24"/>
          <w:szCs w:val="24"/>
        </w:rPr>
        <w:t xml:space="preserve">home </w:t>
      </w:r>
      <w:r w:rsidR="0052612C" w:rsidRPr="00214E8E">
        <w:rPr>
          <w:rFonts w:asciiTheme="majorHAnsi" w:hAnsiTheme="majorHAnsi"/>
          <w:sz w:val="24"/>
          <w:szCs w:val="24"/>
        </w:rPr>
        <w:t>in Grez-sur-Loing.</w:t>
      </w:r>
      <w:r w:rsidR="0075359C" w:rsidRPr="00214E8E">
        <w:rPr>
          <w:rFonts w:asciiTheme="majorHAnsi" w:hAnsiTheme="majorHAnsi"/>
          <w:sz w:val="24"/>
          <w:szCs w:val="24"/>
        </w:rPr>
        <w:t xml:space="preserve"> </w:t>
      </w:r>
      <w:r w:rsidR="00824EF3" w:rsidRPr="00214E8E">
        <w:rPr>
          <w:rFonts w:asciiTheme="majorHAnsi" w:hAnsiTheme="majorHAnsi"/>
          <w:sz w:val="24"/>
          <w:szCs w:val="24"/>
        </w:rPr>
        <w:t xml:space="preserve">In fact, had Delius </w:t>
      </w:r>
      <w:r w:rsidR="005A1361" w:rsidRPr="00214E8E">
        <w:rPr>
          <w:rFonts w:asciiTheme="majorHAnsi" w:hAnsiTheme="majorHAnsi"/>
          <w:sz w:val="24"/>
          <w:szCs w:val="24"/>
        </w:rPr>
        <w:t>chosen to wait a few months and persuade</w:t>
      </w:r>
      <w:r w:rsidR="00824EF3" w:rsidRPr="00214E8E">
        <w:rPr>
          <w:rFonts w:asciiTheme="majorHAnsi" w:hAnsiTheme="majorHAnsi"/>
          <w:sz w:val="24"/>
          <w:szCs w:val="24"/>
        </w:rPr>
        <w:t xml:space="preserve"> </w:t>
      </w:r>
      <w:r w:rsidR="002159E5">
        <w:rPr>
          <w:rFonts w:asciiTheme="majorHAnsi" w:hAnsiTheme="majorHAnsi"/>
          <w:sz w:val="24"/>
          <w:szCs w:val="24"/>
        </w:rPr>
        <w:t xml:space="preserve">the keen </w:t>
      </w:r>
      <w:r w:rsidR="00824EF3" w:rsidRPr="00214E8E">
        <w:rPr>
          <w:rFonts w:asciiTheme="majorHAnsi" w:hAnsiTheme="majorHAnsi"/>
          <w:sz w:val="24"/>
          <w:szCs w:val="24"/>
        </w:rPr>
        <w:t xml:space="preserve">Heseltine to publish the </w:t>
      </w:r>
      <w:r w:rsidR="005A1361" w:rsidRPr="00214E8E">
        <w:rPr>
          <w:rFonts w:asciiTheme="majorHAnsi" w:hAnsiTheme="majorHAnsi"/>
          <w:sz w:val="24"/>
          <w:szCs w:val="24"/>
        </w:rPr>
        <w:t xml:space="preserve">Dance </w:t>
      </w:r>
      <w:r w:rsidR="00824EF3" w:rsidRPr="00214E8E">
        <w:rPr>
          <w:rFonts w:asciiTheme="majorHAnsi" w:hAnsiTheme="majorHAnsi"/>
          <w:sz w:val="24"/>
          <w:szCs w:val="24"/>
        </w:rPr>
        <w:t xml:space="preserve">in </w:t>
      </w:r>
      <w:r w:rsidR="0010256B" w:rsidRPr="00214E8E">
        <w:rPr>
          <w:rFonts w:asciiTheme="majorHAnsi" w:hAnsiTheme="majorHAnsi"/>
          <w:sz w:val="24"/>
          <w:szCs w:val="24"/>
        </w:rPr>
        <w:t>another</w:t>
      </w:r>
      <w:r w:rsidR="00824EF3" w:rsidRPr="00214E8E">
        <w:rPr>
          <w:rFonts w:asciiTheme="majorHAnsi" w:hAnsiTheme="majorHAnsi"/>
          <w:sz w:val="24"/>
          <w:szCs w:val="24"/>
        </w:rPr>
        <w:t xml:space="preserve"> new magazine</w:t>
      </w:r>
      <w:r w:rsidR="005A1361" w:rsidRPr="00214E8E">
        <w:rPr>
          <w:rFonts w:asciiTheme="majorHAnsi" w:hAnsiTheme="majorHAnsi"/>
          <w:sz w:val="24"/>
          <w:szCs w:val="24"/>
        </w:rPr>
        <w:t xml:space="preserve"> </w:t>
      </w:r>
      <w:r w:rsidR="00824EF3" w:rsidRPr="00214E8E">
        <w:rPr>
          <w:rFonts w:asciiTheme="majorHAnsi" w:hAnsiTheme="majorHAnsi"/>
          <w:sz w:val="24"/>
          <w:szCs w:val="24"/>
        </w:rPr>
        <w:t>first publ</w:t>
      </w:r>
      <w:r w:rsidR="0010256B" w:rsidRPr="00214E8E">
        <w:rPr>
          <w:rFonts w:asciiTheme="majorHAnsi" w:hAnsiTheme="majorHAnsi"/>
          <w:sz w:val="24"/>
          <w:szCs w:val="24"/>
        </w:rPr>
        <w:t>ished in May 1920</w:t>
      </w:r>
      <w:r w:rsidR="00D051CB" w:rsidRPr="00214E8E">
        <w:rPr>
          <w:rFonts w:asciiTheme="majorHAnsi" w:hAnsiTheme="majorHAnsi"/>
          <w:sz w:val="24"/>
          <w:szCs w:val="24"/>
        </w:rPr>
        <w:t xml:space="preserve">, </w:t>
      </w:r>
      <w:r w:rsidR="0010256B" w:rsidRPr="00214E8E">
        <w:rPr>
          <w:rFonts w:asciiTheme="majorHAnsi" w:hAnsiTheme="majorHAnsi"/>
          <w:i/>
          <w:sz w:val="24"/>
          <w:szCs w:val="24"/>
        </w:rPr>
        <w:t>The Sackbut</w:t>
      </w:r>
      <w:r w:rsidR="0010256B" w:rsidRPr="00214E8E">
        <w:rPr>
          <w:rFonts w:asciiTheme="majorHAnsi" w:hAnsiTheme="majorHAnsi"/>
          <w:sz w:val="24"/>
          <w:szCs w:val="24"/>
        </w:rPr>
        <w:t xml:space="preserve">, </w:t>
      </w:r>
      <w:r w:rsidR="00824EF3" w:rsidRPr="00214E8E">
        <w:rPr>
          <w:rFonts w:asciiTheme="majorHAnsi" w:hAnsiTheme="majorHAnsi"/>
          <w:sz w:val="24"/>
          <w:szCs w:val="24"/>
        </w:rPr>
        <w:t xml:space="preserve">the surrounding discourse </w:t>
      </w:r>
      <w:r w:rsidR="00D051CB" w:rsidRPr="00214E8E">
        <w:rPr>
          <w:rFonts w:asciiTheme="majorHAnsi" w:hAnsiTheme="majorHAnsi"/>
          <w:sz w:val="24"/>
          <w:szCs w:val="24"/>
        </w:rPr>
        <w:t xml:space="preserve">encouraged </w:t>
      </w:r>
      <w:r w:rsidR="00824EF3" w:rsidRPr="00214E8E">
        <w:rPr>
          <w:rFonts w:asciiTheme="majorHAnsi" w:hAnsiTheme="majorHAnsi"/>
          <w:sz w:val="24"/>
          <w:szCs w:val="24"/>
        </w:rPr>
        <w:t xml:space="preserve">by </w:t>
      </w:r>
      <w:r w:rsidR="005A1361" w:rsidRPr="00214E8E">
        <w:rPr>
          <w:rFonts w:asciiTheme="majorHAnsi" w:hAnsiTheme="majorHAnsi"/>
          <w:sz w:val="24"/>
          <w:szCs w:val="24"/>
        </w:rPr>
        <w:t xml:space="preserve">that </w:t>
      </w:r>
      <w:r w:rsidR="002159E5">
        <w:rPr>
          <w:rFonts w:asciiTheme="majorHAnsi" w:hAnsiTheme="majorHAnsi"/>
          <w:sz w:val="24"/>
          <w:szCs w:val="24"/>
        </w:rPr>
        <w:t xml:space="preserve">other </w:t>
      </w:r>
      <w:r w:rsidR="0059283A" w:rsidRPr="00214E8E">
        <w:rPr>
          <w:rFonts w:asciiTheme="majorHAnsi" w:hAnsiTheme="majorHAnsi"/>
          <w:sz w:val="24"/>
          <w:szCs w:val="24"/>
        </w:rPr>
        <w:t xml:space="preserve">new </w:t>
      </w:r>
      <w:r w:rsidR="00824EF3" w:rsidRPr="00214E8E">
        <w:rPr>
          <w:rFonts w:asciiTheme="majorHAnsi" w:hAnsiTheme="majorHAnsi"/>
          <w:sz w:val="24"/>
          <w:szCs w:val="24"/>
        </w:rPr>
        <w:t>magazine</w:t>
      </w:r>
      <w:r w:rsidR="005B01B6" w:rsidRPr="00214E8E">
        <w:rPr>
          <w:rFonts w:asciiTheme="majorHAnsi" w:hAnsiTheme="majorHAnsi"/>
          <w:sz w:val="24"/>
          <w:szCs w:val="24"/>
        </w:rPr>
        <w:t>’</w:t>
      </w:r>
      <w:r w:rsidR="00824EF3" w:rsidRPr="00214E8E">
        <w:rPr>
          <w:rFonts w:asciiTheme="majorHAnsi" w:hAnsiTheme="majorHAnsi"/>
          <w:sz w:val="24"/>
          <w:szCs w:val="24"/>
        </w:rPr>
        <w:t xml:space="preserve">s guiding lights </w:t>
      </w:r>
      <w:r w:rsidR="004562D9" w:rsidRPr="00214E8E">
        <w:rPr>
          <w:rFonts w:asciiTheme="majorHAnsi" w:hAnsiTheme="majorHAnsi"/>
          <w:sz w:val="24"/>
          <w:szCs w:val="24"/>
        </w:rPr>
        <w:t xml:space="preserve">may well </w:t>
      </w:r>
      <w:r w:rsidR="00824EF3" w:rsidRPr="00214E8E">
        <w:rPr>
          <w:rFonts w:asciiTheme="majorHAnsi" w:hAnsiTheme="majorHAnsi"/>
          <w:sz w:val="24"/>
          <w:szCs w:val="24"/>
        </w:rPr>
        <w:t xml:space="preserve">have been more </w:t>
      </w:r>
      <w:r w:rsidR="004562D9" w:rsidRPr="00214E8E">
        <w:rPr>
          <w:rFonts w:asciiTheme="majorHAnsi" w:hAnsiTheme="majorHAnsi"/>
          <w:sz w:val="24"/>
          <w:szCs w:val="24"/>
        </w:rPr>
        <w:t xml:space="preserve">naturally </w:t>
      </w:r>
      <w:r w:rsidR="00824EF3" w:rsidRPr="00214E8E">
        <w:rPr>
          <w:rFonts w:asciiTheme="majorHAnsi" w:hAnsiTheme="majorHAnsi"/>
          <w:sz w:val="24"/>
          <w:szCs w:val="24"/>
        </w:rPr>
        <w:t xml:space="preserve">sympathetic to </w:t>
      </w:r>
      <w:proofErr w:type="gramStart"/>
      <w:r w:rsidR="00824EF3" w:rsidRPr="00214E8E">
        <w:rPr>
          <w:rFonts w:asciiTheme="majorHAnsi" w:hAnsiTheme="majorHAnsi"/>
          <w:sz w:val="24"/>
          <w:szCs w:val="24"/>
        </w:rPr>
        <w:t>Delius.</w:t>
      </w:r>
      <w:proofErr w:type="gramEnd"/>
      <w:r w:rsidR="00824EF3" w:rsidRPr="00214E8E">
        <w:rPr>
          <w:rStyle w:val="EndnoteReference"/>
          <w:rFonts w:asciiTheme="majorHAnsi" w:hAnsiTheme="majorHAnsi"/>
          <w:sz w:val="24"/>
          <w:szCs w:val="24"/>
        </w:rPr>
        <w:endnoteReference w:id="14"/>
      </w:r>
      <w:r w:rsidR="00824EF3" w:rsidRPr="00214E8E">
        <w:rPr>
          <w:rFonts w:asciiTheme="majorHAnsi" w:hAnsiTheme="majorHAnsi"/>
          <w:sz w:val="24"/>
          <w:szCs w:val="24"/>
        </w:rPr>
        <w:t xml:space="preserve"> </w:t>
      </w:r>
      <w:r w:rsidR="00D051CB" w:rsidRPr="00214E8E">
        <w:rPr>
          <w:rFonts w:asciiTheme="majorHAnsi" w:hAnsiTheme="majorHAnsi"/>
          <w:sz w:val="24"/>
          <w:szCs w:val="24"/>
        </w:rPr>
        <w:t>In any case, in the following June</w:t>
      </w:r>
      <w:r w:rsidR="0052612C" w:rsidRPr="00214E8E">
        <w:rPr>
          <w:rFonts w:asciiTheme="majorHAnsi" w:hAnsiTheme="majorHAnsi"/>
          <w:sz w:val="24"/>
          <w:szCs w:val="24"/>
        </w:rPr>
        <w:t xml:space="preserve"> Delius</w:t>
      </w:r>
      <w:r w:rsidR="005B01B6" w:rsidRPr="00214E8E">
        <w:rPr>
          <w:rFonts w:asciiTheme="majorHAnsi" w:hAnsiTheme="majorHAnsi"/>
          <w:sz w:val="24"/>
          <w:szCs w:val="24"/>
        </w:rPr>
        <w:t>’</w:t>
      </w:r>
      <w:r w:rsidR="0052612C" w:rsidRPr="00214E8E">
        <w:rPr>
          <w:rFonts w:asciiTheme="majorHAnsi" w:hAnsiTheme="majorHAnsi"/>
          <w:sz w:val="24"/>
          <w:szCs w:val="24"/>
        </w:rPr>
        <w:t xml:space="preserve"> publisher, Universal Edition, </w:t>
      </w:r>
      <w:r w:rsidR="002159E5">
        <w:rPr>
          <w:rFonts w:asciiTheme="majorHAnsi" w:hAnsiTheme="majorHAnsi"/>
          <w:sz w:val="24"/>
          <w:szCs w:val="24"/>
        </w:rPr>
        <w:t xml:space="preserve">agreed to </w:t>
      </w:r>
      <w:r w:rsidR="0052612C" w:rsidRPr="00214E8E">
        <w:rPr>
          <w:rFonts w:asciiTheme="majorHAnsi" w:hAnsiTheme="majorHAnsi"/>
          <w:sz w:val="24"/>
          <w:szCs w:val="24"/>
        </w:rPr>
        <w:t>accept</w:t>
      </w:r>
      <w:r w:rsidR="002159E5">
        <w:rPr>
          <w:rFonts w:asciiTheme="majorHAnsi" w:hAnsiTheme="majorHAnsi"/>
          <w:sz w:val="24"/>
          <w:szCs w:val="24"/>
        </w:rPr>
        <w:t xml:space="preserve"> </w:t>
      </w:r>
      <w:r w:rsidR="0052612C" w:rsidRPr="00214E8E">
        <w:rPr>
          <w:rFonts w:asciiTheme="majorHAnsi" w:hAnsiTheme="majorHAnsi"/>
          <w:sz w:val="24"/>
          <w:szCs w:val="24"/>
        </w:rPr>
        <w:t xml:space="preserve">the </w:t>
      </w:r>
      <w:r w:rsidR="002159E5">
        <w:rPr>
          <w:rFonts w:asciiTheme="majorHAnsi" w:hAnsiTheme="majorHAnsi"/>
          <w:sz w:val="24"/>
          <w:szCs w:val="24"/>
        </w:rPr>
        <w:t xml:space="preserve">score </w:t>
      </w:r>
      <w:r w:rsidR="00C75407" w:rsidRPr="00214E8E">
        <w:rPr>
          <w:rFonts w:asciiTheme="majorHAnsi" w:hAnsiTheme="majorHAnsi"/>
          <w:sz w:val="24"/>
          <w:szCs w:val="24"/>
        </w:rPr>
        <w:t>for publication</w:t>
      </w:r>
      <w:r w:rsidR="0052612C" w:rsidRPr="00214E8E">
        <w:rPr>
          <w:rFonts w:asciiTheme="majorHAnsi" w:hAnsiTheme="majorHAnsi"/>
          <w:sz w:val="24"/>
          <w:szCs w:val="24"/>
        </w:rPr>
        <w:t>.</w:t>
      </w:r>
      <w:r w:rsidR="0052612C" w:rsidRPr="00214E8E">
        <w:rPr>
          <w:rStyle w:val="EndnoteReference"/>
          <w:rFonts w:asciiTheme="majorHAnsi" w:hAnsiTheme="majorHAnsi"/>
          <w:sz w:val="24"/>
          <w:szCs w:val="24"/>
        </w:rPr>
        <w:endnoteReference w:id="15"/>
      </w:r>
    </w:p>
    <w:p w:rsidR="005A1361" w:rsidRPr="00214E8E" w:rsidRDefault="0059283A" w:rsidP="002B5EBF">
      <w:pPr>
        <w:pStyle w:val="PlainText"/>
        <w:spacing w:line="480" w:lineRule="auto"/>
        <w:ind w:firstLine="720"/>
        <w:rPr>
          <w:rFonts w:asciiTheme="majorHAnsi" w:hAnsiTheme="majorHAnsi"/>
          <w:sz w:val="24"/>
          <w:szCs w:val="24"/>
        </w:rPr>
      </w:pPr>
      <w:r w:rsidRPr="00214E8E">
        <w:rPr>
          <w:rFonts w:asciiTheme="majorHAnsi" w:hAnsiTheme="majorHAnsi"/>
          <w:sz w:val="24"/>
          <w:szCs w:val="24"/>
        </w:rPr>
        <w:lastRenderedPageBreak/>
        <w:t>Within</w:t>
      </w:r>
      <w:r w:rsidR="004562D9" w:rsidRPr="00214E8E">
        <w:rPr>
          <w:rFonts w:asciiTheme="majorHAnsi" w:hAnsiTheme="majorHAnsi"/>
          <w:sz w:val="24"/>
          <w:szCs w:val="24"/>
        </w:rPr>
        <w:t xml:space="preserve"> </w:t>
      </w:r>
      <w:r w:rsidRPr="00214E8E">
        <w:rPr>
          <w:rFonts w:asciiTheme="majorHAnsi" w:hAnsiTheme="majorHAnsi"/>
          <w:sz w:val="24"/>
          <w:szCs w:val="24"/>
        </w:rPr>
        <w:t xml:space="preserve">the </w:t>
      </w:r>
      <w:r w:rsidR="00C75407" w:rsidRPr="00214E8E">
        <w:rPr>
          <w:rFonts w:asciiTheme="majorHAnsi" w:hAnsiTheme="majorHAnsi"/>
          <w:sz w:val="24"/>
          <w:szCs w:val="24"/>
        </w:rPr>
        <w:t xml:space="preserve">inaugural </w:t>
      </w:r>
      <w:r w:rsidRPr="00214E8E">
        <w:rPr>
          <w:rFonts w:asciiTheme="majorHAnsi" w:hAnsiTheme="majorHAnsi"/>
          <w:sz w:val="24"/>
          <w:szCs w:val="24"/>
        </w:rPr>
        <w:t xml:space="preserve">issue of </w:t>
      </w:r>
      <w:r w:rsidR="004562D9" w:rsidRPr="00214E8E">
        <w:rPr>
          <w:rFonts w:asciiTheme="majorHAnsi" w:hAnsiTheme="majorHAnsi"/>
          <w:i/>
          <w:sz w:val="24"/>
          <w:szCs w:val="24"/>
        </w:rPr>
        <w:t>Music and Letters</w:t>
      </w:r>
      <w:r w:rsidR="004562D9" w:rsidRPr="00214E8E">
        <w:rPr>
          <w:rFonts w:asciiTheme="majorHAnsi" w:hAnsiTheme="majorHAnsi"/>
          <w:sz w:val="24"/>
          <w:szCs w:val="24"/>
        </w:rPr>
        <w:t>, Delius</w:t>
      </w:r>
      <w:r w:rsidR="005B01B6" w:rsidRPr="00214E8E">
        <w:rPr>
          <w:rFonts w:asciiTheme="majorHAnsi" w:hAnsiTheme="majorHAnsi"/>
          <w:sz w:val="24"/>
          <w:szCs w:val="24"/>
        </w:rPr>
        <w:t>’</w:t>
      </w:r>
      <w:r w:rsidR="004562D9" w:rsidRPr="00214E8E">
        <w:rPr>
          <w:rFonts w:asciiTheme="majorHAnsi" w:hAnsiTheme="majorHAnsi"/>
          <w:sz w:val="24"/>
          <w:szCs w:val="24"/>
        </w:rPr>
        <w:t xml:space="preserve"> </w:t>
      </w:r>
      <w:r w:rsidR="0075359C" w:rsidRPr="00214E8E">
        <w:rPr>
          <w:rFonts w:asciiTheme="majorHAnsi" w:hAnsiTheme="majorHAnsi"/>
          <w:sz w:val="24"/>
          <w:szCs w:val="24"/>
        </w:rPr>
        <w:t>Dance is, in terms of its instrumen</w:t>
      </w:r>
      <w:r w:rsidR="00C75407" w:rsidRPr="00214E8E">
        <w:rPr>
          <w:rFonts w:asciiTheme="majorHAnsi" w:hAnsiTheme="majorHAnsi"/>
          <w:sz w:val="24"/>
          <w:szCs w:val="24"/>
        </w:rPr>
        <w:t>tal genre, somewhat grotesque. H</w:t>
      </w:r>
      <w:r w:rsidR="0075359C" w:rsidRPr="00214E8E">
        <w:rPr>
          <w:rFonts w:asciiTheme="majorHAnsi" w:hAnsiTheme="majorHAnsi"/>
          <w:sz w:val="24"/>
          <w:szCs w:val="24"/>
        </w:rPr>
        <w:t>ad the piano been specified</w:t>
      </w:r>
      <w:r w:rsidR="00C75407" w:rsidRPr="00214E8E">
        <w:rPr>
          <w:rFonts w:asciiTheme="majorHAnsi" w:hAnsiTheme="majorHAnsi"/>
          <w:sz w:val="24"/>
          <w:szCs w:val="24"/>
        </w:rPr>
        <w:t xml:space="preserve"> at the head of the score</w:t>
      </w:r>
      <w:r w:rsidR="0075359C" w:rsidRPr="00214E8E">
        <w:rPr>
          <w:rFonts w:asciiTheme="majorHAnsi" w:hAnsiTheme="majorHAnsi"/>
          <w:sz w:val="24"/>
          <w:szCs w:val="24"/>
        </w:rPr>
        <w:t xml:space="preserve">, it would </w:t>
      </w:r>
      <w:r w:rsidR="00C75407" w:rsidRPr="00214E8E">
        <w:rPr>
          <w:rFonts w:asciiTheme="majorHAnsi" w:hAnsiTheme="majorHAnsi"/>
          <w:sz w:val="24"/>
          <w:szCs w:val="24"/>
        </w:rPr>
        <w:t xml:space="preserve">probably </w:t>
      </w:r>
      <w:r w:rsidR="0075359C" w:rsidRPr="00214E8E">
        <w:rPr>
          <w:rFonts w:asciiTheme="majorHAnsi" w:hAnsiTheme="majorHAnsi"/>
          <w:sz w:val="24"/>
          <w:szCs w:val="24"/>
        </w:rPr>
        <w:t xml:space="preserve">have </w:t>
      </w:r>
      <w:r w:rsidR="002159E5">
        <w:rPr>
          <w:rFonts w:asciiTheme="majorHAnsi" w:hAnsiTheme="majorHAnsi"/>
          <w:sz w:val="24"/>
          <w:szCs w:val="24"/>
        </w:rPr>
        <w:t xml:space="preserve">come across as </w:t>
      </w:r>
      <w:r w:rsidR="0075359C" w:rsidRPr="00214E8E">
        <w:rPr>
          <w:rFonts w:asciiTheme="majorHAnsi" w:hAnsiTheme="majorHAnsi"/>
          <w:sz w:val="24"/>
          <w:szCs w:val="24"/>
        </w:rPr>
        <w:t xml:space="preserve">nothing </w:t>
      </w:r>
      <w:r w:rsidR="002159E5">
        <w:rPr>
          <w:rFonts w:asciiTheme="majorHAnsi" w:hAnsiTheme="majorHAnsi"/>
          <w:sz w:val="24"/>
          <w:szCs w:val="24"/>
        </w:rPr>
        <w:t xml:space="preserve">much </w:t>
      </w:r>
      <w:r w:rsidR="0075359C" w:rsidRPr="00214E8E">
        <w:rPr>
          <w:rFonts w:asciiTheme="majorHAnsi" w:hAnsiTheme="majorHAnsi"/>
          <w:sz w:val="24"/>
          <w:szCs w:val="24"/>
        </w:rPr>
        <w:t xml:space="preserve">out of the ordinary, </w:t>
      </w:r>
      <w:r w:rsidR="002159E5">
        <w:rPr>
          <w:rFonts w:asciiTheme="majorHAnsi" w:hAnsiTheme="majorHAnsi"/>
          <w:sz w:val="24"/>
          <w:szCs w:val="24"/>
        </w:rPr>
        <w:t xml:space="preserve">as </w:t>
      </w:r>
      <w:r w:rsidR="0075359C" w:rsidRPr="00214E8E">
        <w:rPr>
          <w:rFonts w:asciiTheme="majorHAnsi" w:hAnsiTheme="majorHAnsi"/>
          <w:sz w:val="24"/>
          <w:szCs w:val="24"/>
        </w:rPr>
        <w:t xml:space="preserve">just another charming piece of Delius, albeit for an instrument </w:t>
      </w:r>
      <w:r w:rsidR="002159E5">
        <w:rPr>
          <w:rFonts w:asciiTheme="majorHAnsi" w:hAnsiTheme="majorHAnsi"/>
          <w:sz w:val="24"/>
          <w:szCs w:val="24"/>
        </w:rPr>
        <w:t xml:space="preserve">for which </w:t>
      </w:r>
      <w:r w:rsidR="0075359C" w:rsidRPr="00214E8E">
        <w:rPr>
          <w:rFonts w:asciiTheme="majorHAnsi" w:hAnsiTheme="majorHAnsi"/>
          <w:sz w:val="24"/>
          <w:szCs w:val="24"/>
        </w:rPr>
        <w:t>he seemed to have little genuine affinity, and for which he wrote only a handf</w:t>
      </w:r>
      <w:r w:rsidR="00D051CB" w:rsidRPr="00214E8E">
        <w:rPr>
          <w:rFonts w:asciiTheme="majorHAnsi" w:hAnsiTheme="majorHAnsi"/>
          <w:sz w:val="24"/>
          <w:szCs w:val="24"/>
        </w:rPr>
        <w:t xml:space="preserve">ul of relatively minor pieces. As an </w:t>
      </w:r>
      <w:r w:rsidR="003F58C8">
        <w:rPr>
          <w:rFonts w:asciiTheme="majorHAnsi" w:hAnsiTheme="majorHAnsi"/>
          <w:sz w:val="24"/>
          <w:szCs w:val="24"/>
        </w:rPr>
        <w:t xml:space="preserve">essay in </w:t>
      </w:r>
      <w:r w:rsidR="00D051CB" w:rsidRPr="00214E8E">
        <w:rPr>
          <w:rFonts w:asciiTheme="majorHAnsi" w:hAnsiTheme="majorHAnsi"/>
          <w:sz w:val="24"/>
          <w:szCs w:val="24"/>
        </w:rPr>
        <w:t xml:space="preserve">keyboard </w:t>
      </w:r>
      <w:r w:rsidR="003F58C8">
        <w:rPr>
          <w:rFonts w:asciiTheme="majorHAnsi" w:hAnsiTheme="majorHAnsi"/>
          <w:sz w:val="24"/>
          <w:szCs w:val="24"/>
        </w:rPr>
        <w:t>writing</w:t>
      </w:r>
      <w:r w:rsidR="00D051CB" w:rsidRPr="00214E8E">
        <w:rPr>
          <w:rFonts w:asciiTheme="majorHAnsi" w:hAnsiTheme="majorHAnsi"/>
          <w:sz w:val="24"/>
          <w:szCs w:val="24"/>
        </w:rPr>
        <w:t>, t</w:t>
      </w:r>
      <w:r w:rsidR="0075359C" w:rsidRPr="00214E8E">
        <w:rPr>
          <w:rFonts w:asciiTheme="majorHAnsi" w:hAnsiTheme="majorHAnsi"/>
          <w:sz w:val="24"/>
          <w:szCs w:val="24"/>
        </w:rPr>
        <w:t xml:space="preserve">he Dance may have been a catalyst for his Five Pieces and Three Preludes four years later, given the slowly growing interest in his music by performers like their dedicatee, Evlyn Howard-Jones, </w:t>
      </w:r>
      <w:r w:rsidR="005434C4" w:rsidRPr="00214E8E">
        <w:rPr>
          <w:rFonts w:asciiTheme="majorHAnsi" w:hAnsiTheme="majorHAnsi"/>
          <w:sz w:val="24"/>
          <w:szCs w:val="24"/>
        </w:rPr>
        <w:t>who would be Beecham</w:t>
      </w:r>
      <w:r w:rsidR="005B01B6" w:rsidRPr="00214E8E">
        <w:rPr>
          <w:rFonts w:asciiTheme="majorHAnsi" w:hAnsiTheme="majorHAnsi"/>
          <w:sz w:val="24"/>
          <w:szCs w:val="24"/>
        </w:rPr>
        <w:t>’</w:t>
      </w:r>
      <w:r w:rsidR="005434C4" w:rsidRPr="00214E8E">
        <w:rPr>
          <w:rFonts w:asciiTheme="majorHAnsi" w:hAnsiTheme="majorHAnsi"/>
          <w:sz w:val="24"/>
          <w:szCs w:val="24"/>
        </w:rPr>
        <w:t>s favoured</w:t>
      </w:r>
      <w:r w:rsidR="00D051CB" w:rsidRPr="00214E8E">
        <w:rPr>
          <w:rFonts w:asciiTheme="majorHAnsi" w:hAnsiTheme="majorHAnsi"/>
          <w:sz w:val="24"/>
          <w:szCs w:val="24"/>
        </w:rPr>
        <w:t xml:space="preserve"> pianist in the 1929 festival.</w:t>
      </w:r>
      <w:r w:rsidR="0075359C" w:rsidRPr="00214E8E">
        <w:rPr>
          <w:rFonts w:asciiTheme="majorHAnsi" w:hAnsiTheme="majorHAnsi"/>
          <w:sz w:val="24"/>
          <w:szCs w:val="24"/>
        </w:rPr>
        <w:t xml:space="preserve"> As a harpsichord piece, </w:t>
      </w:r>
      <w:r w:rsidR="00C75407" w:rsidRPr="00214E8E">
        <w:rPr>
          <w:rFonts w:asciiTheme="majorHAnsi" w:hAnsiTheme="majorHAnsi"/>
          <w:sz w:val="24"/>
          <w:szCs w:val="24"/>
        </w:rPr>
        <w:t xml:space="preserve">though, </w:t>
      </w:r>
      <w:r w:rsidR="0075359C" w:rsidRPr="00214E8E">
        <w:rPr>
          <w:rFonts w:asciiTheme="majorHAnsi" w:hAnsiTheme="majorHAnsi"/>
          <w:sz w:val="24"/>
          <w:szCs w:val="24"/>
        </w:rPr>
        <w:t xml:space="preserve">the textures </w:t>
      </w:r>
      <w:r w:rsidR="005A1361" w:rsidRPr="00214E8E">
        <w:rPr>
          <w:rFonts w:asciiTheme="majorHAnsi" w:hAnsiTheme="majorHAnsi"/>
          <w:sz w:val="24"/>
          <w:szCs w:val="24"/>
        </w:rPr>
        <w:t xml:space="preserve">of the </w:t>
      </w:r>
      <w:r w:rsidR="0075359C" w:rsidRPr="00214E8E">
        <w:rPr>
          <w:rFonts w:asciiTheme="majorHAnsi" w:hAnsiTheme="majorHAnsi"/>
          <w:sz w:val="24"/>
          <w:szCs w:val="24"/>
        </w:rPr>
        <w:t xml:space="preserve">Dance are </w:t>
      </w:r>
      <w:r w:rsidR="003F58C8">
        <w:rPr>
          <w:rFonts w:asciiTheme="majorHAnsi" w:hAnsiTheme="majorHAnsi"/>
          <w:sz w:val="24"/>
          <w:szCs w:val="24"/>
        </w:rPr>
        <w:t xml:space="preserve">not really </w:t>
      </w:r>
      <w:r w:rsidR="0075359C" w:rsidRPr="00214E8E">
        <w:rPr>
          <w:rFonts w:asciiTheme="majorHAnsi" w:hAnsiTheme="majorHAnsi"/>
          <w:sz w:val="24"/>
          <w:szCs w:val="24"/>
        </w:rPr>
        <w:t xml:space="preserve">idiomatic, especially given that Delius seemed to be unaware of interest in the instrument from composers </w:t>
      </w:r>
      <w:r w:rsidRPr="00214E8E">
        <w:rPr>
          <w:rFonts w:asciiTheme="majorHAnsi" w:hAnsiTheme="majorHAnsi"/>
          <w:sz w:val="24"/>
          <w:szCs w:val="24"/>
        </w:rPr>
        <w:t xml:space="preserve">on the continent </w:t>
      </w:r>
      <w:r w:rsidR="0075359C" w:rsidRPr="00214E8E">
        <w:rPr>
          <w:rFonts w:asciiTheme="majorHAnsi" w:hAnsiTheme="majorHAnsi"/>
          <w:sz w:val="24"/>
          <w:szCs w:val="24"/>
        </w:rPr>
        <w:t xml:space="preserve">like De </w:t>
      </w:r>
      <w:proofErr w:type="spellStart"/>
      <w:r w:rsidR="0075359C" w:rsidRPr="00214E8E">
        <w:rPr>
          <w:rFonts w:asciiTheme="majorHAnsi" w:hAnsiTheme="majorHAnsi"/>
          <w:sz w:val="24"/>
          <w:szCs w:val="24"/>
        </w:rPr>
        <w:t>Falla</w:t>
      </w:r>
      <w:proofErr w:type="spellEnd"/>
      <w:r w:rsidR="0075359C" w:rsidRPr="00214E8E">
        <w:rPr>
          <w:rFonts w:asciiTheme="majorHAnsi" w:hAnsiTheme="majorHAnsi"/>
          <w:sz w:val="24"/>
          <w:szCs w:val="24"/>
        </w:rPr>
        <w:t xml:space="preserve"> and Poulenc, who </w:t>
      </w:r>
      <w:r w:rsidR="00C75407" w:rsidRPr="00214E8E">
        <w:rPr>
          <w:rFonts w:asciiTheme="majorHAnsi" w:hAnsiTheme="majorHAnsi"/>
          <w:sz w:val="24"/>
          <w:szCs w:val="24"/>
        </w:rPr>
        <w:t xml:space="preserve">would </w:t>
      </w:r>
      <w:proofErr w:type="gramStart"/>
      <w:r w:rsidR="004562D9" w:rsidRPr="00214E8E">
        <w:rPr>
          <w:rFonts w:asciiTheme="majorHAnsi" w:hAnsiTheme="majorHAnsi"/>
          <w:sz w:val="24"/>
          <w:szCs w:val="24"/>
        </w:rPr>
        <w:t>later</w:t>
      </w:r>
      <w:proofErr w:type="gramEnd"/>
      <w:r w:rsidR="004562D9" w:rsidRPr="00214E8E">
        <w:rPr>
          <w:rFonts w:asciiTheme="majorHAnsi" w:hAnsiTheme="majorHAnsi"/>
          <w:sz w:val="24"/>
          <w:szCs w:val="24"/>
        </w:rPr>
        <w:t xml:space="preserve"> </w:t>
      </w:r>
      <w:r w:rsidR="0075359C" w:rsidRPr="00214E8E">
        <w:rPr>
          <w:rFonts w:asciiTheme="majorHAnsi" w:hAnsiTheme="majorHAnsi"/>
          <w:sz w:val="24"/>
          <w:szCs w:val="24"/>
        </w:rPr>
        <w:t>wrote pieces for Wanda Landowska in 19</w:t>
      </w:r>
      <w:r w:rsidR="005A1361" w:rsidRPr="00214E8E">
        <w:rPr>
          <w:rFonts w:asciiTheme="majorHAnsi" w:hAnsiTheme="majorHAnsi"/>
          <w:sz w:val="24"/>
          <w:szCs w:val="24"/>
        </w:rPr>
        <w:t>23-26 and 1927-28 respectively.</w:t>
      </w:r>
    </w:p>
    <w:p w:rsidR="00C75407" w:rsidRPr="00214E8E" w:rsidRDefault="005A1361" w:rsidP="002B5EBF">
      <w:pPr>
        <w:pStyle w:val="PlainText"/>
        <w:spacing w:line="480" w:lineRule="auto"/>
        <w:ind w:firstLine="720"/>
        <w:rPr>
          <w:rFonts w:asciiTheme="majorHAnsi" w:hAnsiTheme="majorHAnsi"/>
          <w:sz w:val="24"/>
          <w:szCs w:val="24"/>
          <w:lang w:val="en"/>
        </w:rPr>
      </w:pPr>
      <w:r w:rsidRPr="00214E8E">
        <w:rPr>
          <w:rFonts w:asciiTheme="majorHAnsi" w:hAnsiTheme="majorHAnsi"/>
          <w:sz w:val="24"/>
          <w:szCs w:val="24"/>
        </w:rPr>
        <w:t xml:space="preserve">And yet, there is a curious resonance between the Dance and a </w:t>
      </w:r>
      <w:r w:rsidR="0010256B" w:rsidRPr="00214E8E">
        <w:rPr>
          <w:rFonts w:asciiTheme="majorHAnsi" w:hAnsiTheme="majorHAnsi"/>
          <w:sz w:val="24"/>
          <w:szCs w:val="24"/>
        </w:rPr>
        <w:t xml:space="preserve">contemporary </w:t>
      </w:r>
      <w:r w:rsidRPr="00214E8E">
        <w:rPr>
          <w:rFonts w:asciiTheme="majorHAnsi" w:hAnsiTheme="majorHAnsi"/>
          <w:sz w:val="24"/>
          <w:szCs w:val="24"/>
        </w:rPr>
        <w:t>piece of European piano music</w:t>
      </w:r>
      <w:r w:rsidR="0010256B" w:rsidRPr="00214E8E">
        <w:rPr>
          <w:rFonts w:asciiTheme="majorHAnsi" w:hAnsiTheme="majorHAnsi"/>
          <w:sz w:val="24"/>
          <w:szCs w:val="24"/>
        </w:rPr>
        <w:t>.</w:t>
      </w:r>
      <w:r w:rsidRPr="00214E8E">
        <w:rPr>
          <w:rFonts w:asciiTheme="majorHAnsi" w:hAnsiTheme="majorHAnsi"/>
          <w:sz w:val="24"/>
          <w:szCs w:val="24"/>
        </w:rPr>
        <w:t xml:space="preserve"> </w:t>
      </w:r>
      <w:r w:rsidR="0010256B" w:rsidRPr="00214E8E">
        <w:rPr>
          <w:rFonts w:asciiTheme="majorHAnsi" w:hAnsiTheme="majorHAnsi"/>
          <w:sz w:val="24"/>
          <w:szCs w:val="24"/>
        </w:rPr>
        <w:t xml:space="preserve">Delius </w:t>
      </w:r>
      <w:r w:rsidR="003F58C8">
        <w:rPr>
          <w:rFonts w:asciiTheme="majorHAnsi" w:hAnsiTheme="majorHAnsi"/>
          <w:sz w:val="24"/>
          <w:szCs w:val="24"/>
        </w:rPr>
        <w:t xml:space="preserve">composed the piece </w:t>
      </w:r>
      <w:r w:rsidR="0010256B" w:rsidRPr="00214E8E">
        <w:rPr>
          <w:rFonts w:asciiTheme="majorHAnsi" w:hAnsiTheme="majorHAnsi"/>
          <w:sz w:val="24"/>
          <w:szCs w:val="24"/>
        </w:rPr>
        <w:t xml:space="preserve">hot on the heels of the premiere of </w:t>
      </w:r>
      <w:r w:rsidR="004562D9" w:rsidRPr="00214E8E">
        <w:rPr>
          <w:rFonts w:asciiTheme="majorHAnsi" w:eastAsia="Times New Roman" w:hAnsiTheme="majorHAnsi"/>
          <w:sz w:val="24"/>
          <w:szCs w:val="24"/>
        </w:rPr>
        <w:t>Ravel</w:t>
      </w:r>
      <w:r w:rsidR="005B01B6" w:rsidRPr="00214E8E">
        <w:rPr>
          <w:rFonts w:asciiTheme="majorHAnsi" w:eastAsia="Times New Roman" w:hAnsiTheme="majorHAnsi"/>
          <w:sz w:val="24"/>
          <w:szCs w:val="24"/>
        </w:rPr>
        <w:t>’</w:t>
      </w:r>
      <w:r w:rsidR="004562D9" w:rsidRPr="00214E8E">
        <w:rPr>
          <w:rFonts w:asciiTheme="majorHAnsi" w:eastAsia="Times New Roman" w:hAnsiTheme="majorHAnsi"/>
          <w:sz w:val="24"/>
          <w:szCs w:val="24"/>
        </w:rPr>
        <w:t xml:space="preserve">s </w:t>
      </w:r>
      <w:r w:rsidR="004562D9" w:rsidRPr="00214E8E">
        <w:rPr>
          <w:rFonts w:asciiTheme="majorHAnsi" w:eastAsia="Times New Roman" w:hAnsiTheme="majorHAnsi"/>
          <w:i/>
          <w:sz w:val="24"/>
          <w:szCs w:val="24"/>
        </w:rPr>
        <w:t>Le Tombeau de Couperin</w:t>
      </w:r>
      <w:r w:rsidR="004562D9" w:rsidRPr="00214E8E">
        <w:rPr>
          <w:rFonts w:asciiTheme="majorHAnsi" w:eastAsia="Times New Roman" w:hAnsiTheme="majorHAnsi"/>
          <w:sz w:val="24"/>
          <w:szCs w:val="24"/>
        </w:rPr>
        <w:t xml:space="preserve"> (1914-1917)</w:t>
      </w:r>
      <w:r w:rsidRPr="00214E8E">
        <w:rPr>
          <w:rFonts w:asciiTheme="majorHAnsi" w:eastAsia="Times New Roman" w:hAnsiTheme="majorHAnsi"/>
          <w:sz w:val="24"/>
          <w:szCs w:val="24"/>
        </w:rPr>
        <w:t xml:space="preserve">, which had just been </w:t>
      </w:r>
      <w:r w:rsidR="0010256B" w:rsidRPr="00214E8E">
        <w:rPr>
          <w:rFonts w:asciiTheme="majorHAnsi" w:eastAsia="Times New Roman" w:hAnsiTheme="majorHAnsi"/>
          <w:sz w:val="24"/>
          <w:szCs w:val="24"/>
        </w:rPr>
        <w:t xml:space="preserve">given </w:t>
      </w:r>
      <w:r w:rsidRPr="00214E8E">
        <w:rPr>
          <w:rFonts w:asciiTheme="majorHAnsi" w:eastAsia="Times New Roman" w:hAnsiTheme="majorHAnsi"/>
          <w:sz w:val="24"/>
          <w:szCs w:val="24"/>
        </w:rPr>
        <w:t>by Marguerite Long</w:t>
      </w:r>
      <w:r w:rsidR="004562D9" w:rsidRPr="00214E8E">
        <w:rPr>
          <w:rFonts w:asciiTheme="majorHAnsi" w:eastAsia="Times New Roman" w:hAnsiTheme="majorHAnsi"/>
          <w:sz w:val="24"/>
          <w:szCs w:val="24"/>
        </w:rPr>
        <w:t xml:space="preserve"> in Paris on 11 April 1919</w:t>
      </w:r>
      <w:r w:rsidRPr="00214E8E">
        <w:rPr>
          <w:rFonts w:asciiTheme="majorHAnsi" w:eastAsia="Times New Roman" w:hAnsiTheme="majorHAnsi"/>
          <w:sz w:val="24"/>
          <w:szCs w:val="24"/>
        </w:rPr>
        <w:t>.</w:t>
      </w:r>
      <w:r w:rsidR="0010256B" w:rsidRPr="00214E8E">
        <w:rPr>
          <w:rFonts w:asciiTheme="majorHAnsi" w:eastAsia="Times New Roman" w:hAnsiTheme="majorHAnsi"/>
          <w:sz w:val="24"/>
          <w:szCs w:val="24"/>
        </w:rPr>
        <w:t xml:space="preserve"> Delius</w:t>
      </w:r>
      <w:r w:rsidR="0010256B" w:rsidRPr="00214E8E">
        <w:rPr>
          <w:rFonts w:asciiTheme="majorHAnsi" w:hAnsiTheme="majorHAnsi"/>
          <w:sz w:val="24"/>
          <w:szCs w:val="24"/>
          <w:lang w:val="en"/>
        </w:rPr>
        <w:t xml:space="preserve"> and his wife Jelka had been staying with Gordon-Woodhouse in </w:t>
      </w:r>
      <w:r w:rsidR="00B21E3D" w:rsidRPr="00214E8E">
        <w:rPr>
          <w:rFonts w:asciiTheme="majorHAnsi" w:hAnsiTheme="majorHAnsi"/>
          <w:sz w:val="24"/>
          <w:szCs w:val="24"/>
          <w:lang w:val="en"/>
        </w:rPr>
        <w:t xml:space="preserve">Belsize Gardens, NW3 </w:t>
      </w:r>
      <w:r w:rsidR="0010256B" w:rsidRPr="00214E8E">
        <w:rPr>
          <w:rFonts w:asciiTheme="majorHAnsi" w:hAnsiTheme="majorHAnsi"/>
          <w:sz w:val="24"/>
          <w:szCs w:val="24"/>
          <w:lang w:val="en"/>
        </w:rPr>
        <w:t>since late 1918</w:t>
      </w:r>
      <w:r w:rsidR="00C75407" w:rsidRPr="00214E8E">
        <w:rPr>
          <w:rFonts w:asciiTheme="majorHAnsi" w:hAnsiTheme="majorHAnsi"/>
          <w:sz w:val="24"/>
          <w:szCs w:val="24"/>
          <w:lang w:val="en"/>
        </w:rPr>
        <w:t>,</w:t>
      </w:r>
      <w:r w:rsidR="0010256B" w:rsidRPr="00214E8E">
        <w:rPr>
          <w:rFonts w:asciiTheme="majorHAnsi" w:hAnsiTheme="majorHAnsi"/>
          <w:sz w:val="24"/>
          <w:szCs w:val="24"/>
          <w:lang w:val="en"/>
        </w:rPr>
        <w:t xml:space="preserve"> and did not depart for Cornwall until </w:t>
      </w:r>
      <w:r w:rsidR="00D21103" w:rsidRPr="00214E8E">
        <w:rPr>
          <w:rFonts w:asciiTheme="majorHAnsi" w:hAnsiTheme="majorHAnsi"/>
          <w:sz w:val="24"/>
          <w:szCs w:val="24"/>
          <w:lang w:val="en"/>
        </w:rPr>
        <w:t>the end of May / early June</w:t>
      </w:r>
      <w:r w:rsidR="00C75407" w:rsidRPr="00214E8E">
        <w:rPr>
          <w:rFonts w:asciiTheme="majorHAnsi" w:hAnsiTheme="majorHAnsi"/>
          <w:sz w:val="24"/>
          <w:szCs w:val="24"/>
          <w:lang w:val="en"/>
        </w:rPr>
        <w:t xml:space="preserve"> 1919.</w:t>
      </w:r>
      <w:r w:rsidR="0010256B" w:rsidRPr="00214E8E">
        <w:rPr>
          <w:rStyle w:val="EndnoteReference"/>
          <w:rFonts w:asciiTheme="majorHAnsi" w:hAnsiTheme="majorHAnsi"/>
          <w:sz w:val="24"/>
          <w:szCs w:val="24"/>
          <w:lang w:val="en"/>
        </w:rPr>
        <w:endnoteReference w:id="16"/>
      </w:r>
      <w:r w:rsidR="00C75407" w:rsidRPr="00214E8E">
        <w:rPr>
          <w:rFonts w:asciiTheme="majorHAnsi" w:hAnsiTheme="majorHAnsi"/>
          <w:sz w:val="24"/>
          <w:szCs w:val="24"/>
          <w:lang w:val="en"/>
        </w:rPr>
        <w:t xml:space="preserve"> H</w:t>
      </w:r>
      <w:r w:rsidR="0010256B" w:rsidRPr="00214E8E">
        <w:rPr>
          <w:rFonts w:asciiTheme="majorHAnsi" w:hAnsiTheme="majorHAnsi"/>
          <w:sz w:val="24"/>
          <w:szCs w:val="24"/>
          <w:lang w:val="en"/>
        </w:rPr>
        <w:t>e is unlikely</w:t>
      </w:r>
      <w:r w:rsidR="00C75407" w:rsidRPr="00214E8E">
        <w:rPr>
          <w:rFonts w:asciiTheme="majorHAnsi" w:hAnsiTheme="majorHAnsi"/>
          <w:sz w:val="24"/>
          <w:szCs w:val="24"/>
          <w:lang w:val="en"/>
        </w:rPr>
        <w:t>, then,</w:t>
      </w:r>
      <w:r w:rsidR="0010256B" w:rsidRPr="00214E8E">
        <w:rPr>
          <w:rFonts w:asciiTheme="majorHAnsi" w:hAnsiTheme="majorHAnsi"/>
          <w:sz w:val="24"/>
          <w:szCs w:val="24"/>
          <w:lang w:val="en"/>
        </w:rPr>
        <w:t xml:space="preserve"> to have known about </w:t>
      </w:r>
      <w:r w:rsidR="00C75407" w:rsidRPr="00214E8E">
        <w:rPr>
          <w:rFonts w:asciiTheme="majorHAnsi" w:hAnsiTheme="majorHAnsi"/>
          <w:i/>
          <w:sz w:val="24"/>
          <w:szCs w:val="24"/>
          <w:lang w:val="en"/>
        </w:rPr>
        <w:t>Le Tombeau de Couperin</w:t>
      </w:r>
      <w:r w:rsidR="00C75407" w:rsidRPr="00214E8E">
        <w:rPr>
          <w:rFonts w:asciiTheme="majorHAnsi" w:hAnsiTheme="majorHAnsi"/>
          <w:sz w:val="24"/>
          <w:szCs w:val="24"/>
          <w:lang w:val="en"/>
        </w:rPr>
        <w:t xml:space="preserve"> </w:t>
      </w:r>
      <w:r w:rsidR="0010256B" w:rsidRPr="00214E8E">
        <w:rPr>
          <w:rFonts w:asciiTheme="majorHAnsi" w:hAnsiTheme="majorHAnsi"/>
          <w:sz w:val="24"/>
          <w:szCs w:val="24"/>
          <w:lang w:val="en"/>
        </w:rPr>
        <w:t>first hand</w:t>
      </w:r>
      <w:r w:rsidR="00B21E3D" w:rsidRPr="00214E8E">
        <w:rPr>
          <w:rFonts w:asciiTheme="majorHAnsi" w:hAnsiTheme="majorHAnsi"/>
          <w:sz w:val="24"/>
          <w:szCs w:val="24"/>
          <w:lang w:val="en"/>
        </w:rPr>
        <w:t xml:space="preserve">, though he would </w:t>
      </w:r>
      <w:r w:rsidR="003F58C8">
        <w:rPr>
          <w:rFonts w:asciiTheme="majorHAnsi" w:hAnsiTheme="majorHAnsi"/>
          <w:sz w:val="24"/>
          <w:szCs w:val="24"/>
          <w:lang w:val="en"/>
        </w:rPr>
        <w:t>make a note of Ravel’s talent in a letter to Heseltine on 17 July</w:t>
      </w:r>
      <w:r w:rsidR="0010256B" w:rsidRPr="00214E8E">
        <w:rPr>
          <w:rFonts w:asciiTheme="majorHAnsi" w:hAnsiTheme="majorHAnsi"/>
          <w:sz w:val="24"/>
          <w:szCs w:val="24"/>
          <w:lang w:val="en"/>
        </w:rPr>
        <w:t>.</w:t>
      </w:r>
      <w:r w:rsidR="00B21E3D" w:rsidRPr="00214E8E">
        <w:rPr>
          <w:rStyle w:val="EndnoteReference"/>
          <w:rFonts w:asciiTheme="majorHAnsi" w:hAnsiTheme="majorHAnsi"/>
          <w:sz w:val="24"/>
          <w:szCs w:val="24"/>
          <w:lang w:val="en"/>
        </w:rPr>
        <w:endnoteReference w:id="17"/>
      </w:r>
      <w:r w:rsidR="0010256B" w:rsidRPr="00214E8E">
        <w:rPr>
          <w:rFonts w:asciiTheme="majorHAnsi" w:hAnsiTheme="majorHAnsi"/>
          <w:sz w:val="24"/>
          <w:szCs w:val="24"/>
          <w:lang w:val="en"/>
        </w:rPr>
        <w:t xml:space="preserve"> Delius wrote to Henry Clews in December 1918 that </w:t>
      </w:r>
      <w:r w:rsidR="005B01B6" w:rsidRPr="00214E8E">
        <w:rPr>
          <w:rFonts w:asciiTheme="majorHAnsi" w:hAnsiTheme="majorHAnsi"/>
          <w:sz w:val="24"/>
          <w:szCs w:val="24"/>
          <w:lang w:val="en"/>
        </w:rPr>
        <w:t>“</w:t>
      </w:r>
      <w:r w:rsidR="0010256B" w:rsidRPr="00214E8E">
        <w:rPr>
          <w:rFonts w:asciiTheme="majorHAnsi" w:hAnsiTheme="majorHAnsi"/>
          <w:sz w:val="24"/>
          <w:szCs w:val="24"/>
          <w:lang w:val="en"/>
        </w:rPr>
        <w:t>He had listened to her [Gordon-Woodhouse] playing Bach, Scarlatti and the English composers of the 15</w:t>
      </w:r>
      <w:r w:rsidR="0010256B" w:rsidRPr="00214E8E">
        <w:rPr>
          <w:rFonts w:asciiTheme="majorHAnsi" w:hAnsiTheme="majorHAnsi"/>
          <w:sz w:val="24"/>
          <w:szCs w:val="24"/>
          <w:vertAlign w:val="superscript"/>
          <w:lang w:val="en"/>
        </w:rPr>
        <w:t>th</w:t>
      </w:r>
      <w:r w:rsidR="0010256B" w:rsidRPr="00214E8E">
        <w:rPr>
          <w:rFonts w:asciiTheme="majorHAnsi" w:hAnsiTheme="majorHAnsi"/>
          <w:sz w:val="24"/>
          <w:szCs w:val="24"/>
          <w:lang w:val="en"/>
        </w:rPr>
        <w:t xml:space="preserve"> and 16</w:t>
      </w:r>
      <w:r w:rsidR="0010256B" w:rsidRPr="00214E8E">
        <w:rPr>
          <w:rFonts w:asciiTheme="majorHAnsi" w:hAnsiTheme="majorHAnsi"/>
          <w:sz w:val="24"/>
          <w:szCs w:val="24"/>
          <w:vertAlign w:val="superscript"/>
          <w:lang w:val="en"/>
        </w:rPr>
        <w:t>th</w:t>
      </w:r>
      <w:r w:rsidR="00C75407" w:rsidRPr="00214E8E">
        <w:rPr>
          <w:rFonts w:asciiTheme="majorHAnsi" w:hAnsiTheme="majorHAnsi"/>
          <w:sz w:val="24"/>
          <w:szCs w:val="24"/>
          <w:lang w:val="en"/>
        </w:rPr>
        <w:t xml:space="preserve"> </w:t>
      </w:r>
      <w:proofErr w:type="gramStart"/>
      <w:r w:rsidR="00C75407" w:rsidRPr="00214E8E">
        <w:rPr>
          <w:rFonts w:asciiTheme="majorHAnsi" w:hAnsiTheme="majorHAnsi"/>
          <w:sz w:val="24"/>
          <w:szCs w:val="24"/>
          <w:lang w:val="en"/>
        </w:rPr>
        <w:t>centuries</w:t>
      </w:r>
      <w:r w:rsidR="005B01B6" w:rsidRPr="00214E8E">
        <w:rPr>
          <w:rFonts w:asciiTheme="majorHAnsi" w:hAnsiTheme="majorHAnsi"/>
          <w:sz w:val="24"/>
          <w:szCs w:val="24"/>
          <w:lang w:val="en"/>
        </w:rPr>
        <w:t>”</w:t>
      </w:r>
      <w:r w:rsidR="00C75407" w:rsidRPr="00214E8E">
        <w:rPr>
          <w:rFonts w:asciiTheme="majorHAnsi" w:hAnsiTheme="majorHAnsi"/>
          <w:sz w:val="24"/>
          <w:szCs w:val="24"/>
          <w:lang w:val="en"/>
        </w:rPr>
        <w:t>,</w:t>
      </w:r>
      <w:r w:rsidR="0010256B" w:rsidRPr="00214E8E">
        <w:rPr>
          <w:rStyle w:val="EndnoteReference"/>
          <w:rFonts w:asciiTheme="majorHAnsi" w:hAnsiTheme="majorHAnsi"/>
          <w:sz w:val="24"/>
          <w:szCs w:val="24"/>
          <w:lang w:val="en"/>
        </w:rPr>
        <w:endnoteReference w:id="18"/>
      </w:r>
      <w:proofErr w:type="gramEnd"/>
      <w:r w:rsidR="00C75407" w:rsidRPr="00214E8E">
        <w:rPr>
          <w:rFonts w:asciiTheme="majorHAnsi" w:hAnsiTheme="majorHAnsi"/>
          <w:sz w:val="24"/>
          <w:szCs w:val="24"/>
          <w:lang w:val="en"/>
        </w:rPr>
        <w:t xml:space="preserve"> and this adds some </w:t>
      </w:r>
      <w:r w:rsidR="003F58C8">
        <w:rPr>
          <w:rFonts w:asciiTheme="majorHAnsi" w:hAnsiTheme="majorHAnsi"/>
          <w:sz w:val="24"/>
          <w:szCs w:val="24"/>
          <w:lang w:val="en"/>
        </w:rPr>
        <w:t xml:space="preserve">additional </w:t>
      </w:r>
      <w:r w:rsidR="00C75407" w:rsidRPr="00214E8E">
        <w:rPr>
          <w:rFonts w:asciiTheme="majorHAnsi" w:hAnsiTheme="majorHAnsi"/>
          <w:sz w:val="24"/>
          <w:szCs w:val="24"/>
          <w:lang w:val="en"/>
        </w:rPr>
        <w:t>home-grown ideas about the musical style conjured up in the Dance</w:t>
      </w:r>
      <w:r w:rsidR="003F58C8">
        <w:rPr>
          <w:rFonts w:asciiTheme="majorHAnsi" w:hAnsiTheme="majorHAnsi"/>
          <w:sz w:val="24"/>
          <w:szCs w:val="24"/>
          <w:lang w:val="en"/>
        </w:rPr>
        <w:t>, which we can</w:t>
      </w:r>
      <w:r w:rsidR="00C75407" w:rsidRPr="00214E8E">
        <w:rPr>
          <w:rFonts w:asciiTheme="majorHAnsi" w:hAnsiTheme="majorHAnsi"/>
          <w:sz w:val="24"/>
          <w:szCs w:val="24"/>
          <w:lang w:val="en"/>
        </w:rPr>
        <w:t xml:space="preserve"> juxtapose alongside the Ravel.</w:t>
      </w:r>
    </w:p>
    <w:p w:rsidR="0010256B" w:rsidRPr="00214E8E" w:rsidRDefault="0010256B" w:rsidP="002B5EBF">
      <w:pPr>
        <w:pStyle w:val="PlainText"/>
        <w:spacing w:line="480" w:lineRule="auto"/>
        <w:ind w:firstLine="720"/>
        <w:rPr>
          <w:rFonts w:asciiTheme="majorHAnsi" w:eastAsia="Times New Roman" w:hAnsiTheme="majorHAnsi"/>
          <w:sz w:val="24"/>
          <w:szCs w:val="24"/>
        </w:rPr>
      </w:pPr>
      <w:r w:rsidRPr="00214E8E">
        <w:rPr>
          <w:rFonts w:asciiTheme="majorHAnsi" w:hAnsiTheme="majorHAnsi"/>
          <w:sz w:val="24"/>
          <w:szCs w:val="24"/>
          <w:lang w:val="en"/>
        </w:rPr>
        <w:lastRenderedPageBreak/>
        <w:t>The composer C. W. Orr wrote about meeting Delius during this period and hearing the composer play through his work-in-progr</w:t>
      </w:r>
      <w:r w:rsidR="00BB76C5" w:rsidRPr="00214E8E">
        <w:rPr>
          <w:rFonts w:asciiTheme="majorHAnsi" w:hAnsiTheme="majorHAnsi"/>
          <w:sz w:val="24"/>
          <w:szCs w:val="24"/>
          <w:lang w:val="en"/>
        </w:rPr>
        <w:t xml:space="preserve">ess. No doubt Gordon-Woodhouse </w:t>
      </w:r>
      <w:r w:rsidRPr="00214E8E">
        <w:rPr>
          <w:rFonts w:asciiTheme="majorHAnsi" w:hAnsiTheme="majorHAnsi"/>
          <w:sz w:val="24"/>
          <w:szCs w:val="24"/>
          <w:lang w:val="en"/>
        </w:rPr>
        <w:t xml:space="preserve">played the Dance to Delius and </w:t>
      </w:r>
      <w:proofErr w:type="gramStart"/>
      <w:r w:rsidR="0052612C" w:rsidRPr="00214E8E">
        <w:rPr>
          <w:rFonts w:asciiTheme="majorHAnsi" w:hAnsiTheme="majorHAnsi"/>
          <w:sz w:val="24"/>
          <w:szCs w:val="24"/>
          <w:lang w:val="en"/>
        </w:rPr>
        <w:t>select</w:t>
      </w:r>
      <w:proofErr w:type="gramEnd"/>
      <w:r w:rsidR="0052612C" w:rsidRPr="00214E8E">
        <w:rPr>
          <w:rFonts w:asciiTheme="majorHAnsi" w:hAnsiTheme="majorHAnsi"/>
          <w:sz w:val="24"/>
          <w:szCs w:val="24"/>
          <w:lang w:val="en"/>
        </w:rPr>
        <w:t xml:space="preserve"> </w:t>
      </w:r>
      <w:r w:rsidRPr="00214E8E">
        <w:rPr>
          <w:rFonts w:asciiTheme="majorHAnsi" w:hAnsiTheme="majorHAnsi"/>
          <w:sz w:val="24"/>
          <w:szCs w:val="24"/>
          <w:lang w:val="en"/>
        </w:rPr>
        <w:t>others in a pri</w:t>
      </w:r>
      <w:r w:rsidR="00C75407" w:rsidRPr="00214E8E">
        <w:rPr>
          <w:rFonts w:asciiTheme="majorHAnsi" w:hAnsiTheme="majorHAnsi"/>
          <w:sz w:val="24"/>
          <w:szCs w:val="24"/>
          <w:lang w:val="en"/>
        </w:rPr>
        <w:t>vate premiere at her home. I</w:t>
      </w:r>
      <w:r w:rsidRPr="00214E8E">
        <w:rPr>
          <w:rFonts w:asciiTheme="majorHAnsi" w:hAnsiTheme="majorHAnsi"/>
          <w:sz w:val="24"/>
          <w:szCs w:val="24"/>
          <w:lang w:val="en"/>
        </w:rPr>
        <w:t>ts official public premiere</w:t>
      </w:r>
      <w:r w:rsidR="00C75407" w:rsidRPr="00214E8E">
        <w:rPr>
          <w:rFonts w:asciiTheme="majorHAnsi" w:hAnsiTheme="majorHAnsi"/>
          <w:sz w:val="24"/>
          <w:szCs w:val="24"/>
          <w:lang w:val="en"/>
        </w:rPr>
        <w:t>, however,</w:t>
      </w:r>
      <w:r w:rsidRPr="00214E8E">
        <w:rPr>
          <w:rFonts w:asciiTheme="majorHAnsi" w:hAnsiTheme="majorHAnsi"/>
          <w:sz w:val="24"/>
          <w:szCs w:val="24"/>
          <w:lang w:val="en"/>
        </w:rPr>
        <w:t xml:space="preserve"> went to Evlyn Howard-Jones</w:t>
      </w:r>
      <w:r w:rsidR="00C75407" w:rsidRPr="00214E8E">
        <w:rPr>
          <w:rFonts w:asciiTheme="majorHAnsi" w:hAnsiTheme="majorHAnsi"/>
          <w:sz w:val="24"/>
          <w:szCs w:val="24"/>
          <w:lang w:val="en"/>
        </w:rPr>
        <w:t>, who performed it</w:t>
      </w:r>
      <w:r w:rsidRPr="00214E8E">
        <w:rPr>
          <w:rFonts w:asciiTheme="majorHAnsi" w:hAnsiTheme="majorHAnsi"/>
          <w:sz w:val="24"/>
          <w:szCs w:val="24"/>
          <w:lang w:val="en"/>
        </w:rPr>
        <w:t xml:space="preserve"> on the piano</w:t>
      </w:r>
      <w:r w:rsidR="0059283A" w:rsidRPr="00214E8E">
        <w:rPr>
          <w:rFonts w:asciiTheme="majorHAnsi" w:hAnsiTheme="majorHAnsi"/>
          <w:sz w:val="24"/>
          <w:szCs w:val="24"/>
          <w:lang w:val="en"/>
        </w:rPr>
        <w:t>,</w:t>
      </w:r>
      <w:r w:rsidRPr="00214E8E">
        <w:rPr>
          <w:rStyle w:val="EndnoteReference"/>
          <w:rFonts w:asciiTheme="majorHAnsi" w:hAnsiTheme="majorHAnsi"/>
          <w:sz w:val="24"/>
          <w:szCs w:val="24"/>
          <w:lang w:val="en"/>
        </w:rPr>
        <w:endnoteReference w:id="19"/>
      </w:r>
      <w:r w:rsidR="0059283A" w:rsidRPr="00214E8E">
        <w:rPr>
          <w:rFonts w:asciiTheme="majorHAnsi" w:hAnsiTheme="majorHAnsi"/>
          <w:sz w:val="24"/>
          <w:szCs w:val="24"/>
          <w:lang w:val="en"/>
        </w:rPr>
        <w:t xml:space="preserve"> and he</w:t>
      </w:r>
      <w:r w:rsidRPr="00214E8E">
        <w:rPr>
          <w:rFonts w:asciiTheme="majorHAnsi" w:hAnsiTheme="majorHAnsi"/>
          <w:sz w:val="24"/>
          <w:szCs w:val="24"/>
          <w:lang w:val="en"/>
        </w:rPr>
        <w:t xml:space="preserve"> </w:t>
      </w:r>
      <w:r w:rsidR="001A0F40" w:rsidRPr="00214E8E">
        <w:rPr>
          <w:rFonts w:asciiTheme="majorHAnsi" w:hAnsiTheme="majorHAnsi"/>
          <w:sz w:val="24"/>
          <w:szCs w:val="24"/>
          <w:lang w:val="en"/>
        </w:rPr>
        <w:t>went on to play it in concert, for example in Paris on 25 January 1922,</w:t>
      </w:r>
      <w:r w:rsidR="001A0F40" w:rsidRPr="00214E8E">
        <w:rPr>
          <w:rStyle w:val="EndnoteReference"/>
          <w:rFonts w:asciiTheme="majorHAnsi" w:hAnsiTheme="majorHAnsi"/>
          <w:sz w:val="24"/>
          <w:szCs w:val="24"/>
          <w:lang w:val="en"/>
        </w:rPr>
        <w:endnoteReference w:id="20"/>
      </w:r>
      <w:r w:rsidR="001A0F40" w:rsidRPr="00214E8E">
        <w:rPr>
          <w:rFonts w:asciiTheme="majorHAnsi" w:hAnsiTheme="majorHAnsi"/>
          <w:sz w:val="24"/>
          <w:szCs w:val="24"/>
          <w:lang w:val="en"/>
        </w:rPr>
        <w:t xml:space="preserve"> and to </w:t>
      </w:r>
      <w:r w:rsidR="0059283A" w:rsidRPr="00214E8E">
        <w:rPr>
          <w:rFonts w:asciiTheme="majorHAnsi" w:hAnsiTheme="majorHAnsi"/>
          <w:sz w:val="24"/>
          <w:szCs w:val="24"/>
          <w:lang w:val="en"/>
        </w:rPr>
        <w:t>record it in 1929</w:t>
      </w:r>
      <w:r w:rsidRPr="00214E8E">
        <w:rPr>
          <w:rFonts w:asciiTheme="majorHAnsi" w:hAnsiTheme="majorHAnsi"/>
          <w:sz w:val="24"/>
          <w:szCs w:val="24"/>
          <w:lang w:val="en"/>
        </w:rPr>
        <w:t>.</w:t>
      </w:r>
      <w:r w:rsidRPr="00214E8E">
        <w:rPr>
          <w:rStyle w:val="EndnoteReference"/>
          <w:rFonts w:asciiTheme="majorHAnsi" w:hAnsiTheme="majorHAnsi"/>
          <w:sz w:val="24"/>
          <w:szCs w:val="24"/>
          <w:lang w:val="en"/>
        </w:rPr>
        <w:endnoteReference w:id="21"/>
      </w:r>
      <w:r w:rsidRPr="00214E8E">
        <w:rPr>
          <w:rFonts w:asciiTheme="majorHAnsi" w:hAnsiTheme="majorHAnsi"/>
          <w:sz w:val="24"/>
          <w:szCs w:val="24"/>
        </w:rPr>
        <w:t xml:space="preserve"> </w:t>
      </w:r>
      <w:proofErr w:type="gramStart"/>
      <w:r w:rsidRPr="00214E8E">
        <w:rPr>
          <w:rFonts w:asciiTheme="majorHAnsi" w:eastAsia="Times New Roman" w:hAnsiTheme="majorHAnsi"/>
          <w:sz w:val="24"/>
          <w:szCs w:val="24"/>
        </w:rPr>
        <w:t>All the more curious, then, that</w:t>
      </w:r>
      <w:r w:rsidR="005A1361" w:rsidRPr="00214E8E">
        <w:rPr>
          <w:rFonts w:asciiTheme="majorHAnsi" w:eastAsia="Times New Roman" w:hAnsiTheme="majorHAnsi"/>
          <w:sz w:val="24"/>
          <w:szCs w:val="24"/>
        </w:rPr>
        <w:t xml:space="preserve"> Delius</w:t>
      </w:r>
      <w:r w:rsidR="005B01B6" w:rsidRPr="00214E8E">
        <w:rPr>
          <w:rFonts w:asciiTheme="majorHAnsi" w:eastAsia="Times New Roman" w:hAnsiTheme="majorHAnsi"/>
          <w:sz w:val="24"/>
          <w:szCs w:val="24"/>
        </w:rPr>
        <w:t>’</w:t>
      </w:r>
      <w:r w:rsidR="005A1361" w:rsidRPr="00214E8E">
        <w:rPr>
          <w:rFonts w:asciiTheme="majorHAnsi" w:eastAsia="Times New Roman" w:hAnsiTheme="majorHAnsi"/>
          <w:sz w:val="24"/>
          <w:szCs w:val="24"/>
        </w:rPr>
        <w:t xml:space="preserve"> </w:t>
      </w:r>
      <w:r w:rsidRPr="00214E8E">
        <w:rPr>
          <w:rFonts w:asciiTheme="majorHAnsi" w:eastAsia="Times New Roman" w:hAnsiTheme="majorHAnsi"/>
          <w:sz w:val="24"/>
          <w:szCs w:val="24"/>
        </w:rPr>
        <w:t xml:space="preserve">Dance </w:t>
      </w:r>
      <w:r w:rsidR="005A1361" w:rsidRPr="00214E8E">
        <w:rPr>
          <w:rFonts w:asciiTheme="majorHAnsi" w:eastAsia="Times New Roman" w:hAnsiTheme="majorHAnsi"/>
          <w:sz w:val="24"/>
          <w:szCs w:val="24"/>
        </w:rPr>
        <w:t xml:space="preserve">is </w:t>
      </w:r>
      <w:r w:rsidRPr="00214E8E">
        <w:rPr>
          <w:rFonts w:asciiTheme="majorHAnsi" w:eastAsia="Times New Roman" w:hAnsiTheme="majorHAnsi"/>
          <w:sz w:val="24"/>
          <w:szCs w:val="24"/>
        </w:rPr>
        <w:t xml:space="preserve">as </w:t>
      </w:r>
      <w:r w:rsidR="00672F3C" w:rsidRPr="00214E8E">
        <w:rPr>
          <w:rFonts w:asciiTheme="majorHAnsi" w:eastAsia="Times New Roman" w:hAnsiTheme="majorHAnsi"/>
          <w:sz w:val="24"/>
          <w:szCs w:val="24"/>
        </w:rPr>
        <w:t xml:space="preserve">deliberately </w:t>
      </w:r>
      <w:r w:rsidR="005A1361" w:rsidRPr="00214E8E">
        <w:rPr>
          <w:rFonts w:asciiTheme="majorHAnsi" w:eastAsia="Times New Roman" w:hAnsiTheme="majorHAnsi"/>
          <w:sz w:val="24"/>
          <w:szCs w:val="24"/>
        </w:rPr>
        <w:t>archaic</w:t>
      </w:r>
      <w:r w:rsidR="00AE12D2" w:rsidRPr="00214E8E">
        <w:rPr>
          <w:rFonts w:asciiTheme="majorHAnsi" w:eastAsia="Times New Roman" w:hAnsiTheme="majorHAnsi"/>
          <w:sz w:val="24"/>
          <w:szCs w:val="24"/>
        </w:rPr>
        <w:t xml:space="preserve"> and self-historicising</w:t>
      </w:r>
      <w:r w:rsidR="0059283A" w:rsidRPr="00214E8E">
        <w:rPr>
          <w:rFonts w:asciiTheme="majorHAnsi" w:eastAsia="Times New Roman" w:hAnsiTheme="majorHAnsi"/>
          <w:sz w:val="24"/>
          <w:szCs w:val="24"/>
        </w:rPr>
        <w:t xml:space="preserve"> as </w:t>
      </w:r>
      <w:r w:rsidRPr="00214E8E">
        <w:rPr>
          <w:rFonts w:asciiTheme="majorHAnsi" w:eastAsia="Times New Roman" w:hAnsiTheme="majorHAnsi"/>
          <w:sz w:val="24"/>
          <w:szCs w:val="24"/>
        </w:rPr>
        <w:t>Ravel</w:t>
      </w:r>
      <w:r w:rsidR="0059283A" w:rsidRPr="00214E8E">
        <w:rPr>
          <w:rFonts w:asciiTheme="majorHAnsi" w:eastAsia="Times New Roman" w:hAnsiTheme="majorHAnsi"/>
          <w:sz w:val="24"/>
          <w:szCs w:val="24"/>
        </w:rPr>
        <w:t xml:space="preserve">’s </w:t>
      </w:r>
      <w:r w:rsidR="0059283A" w:rsidRPr="00214E8E">
        <w:rPr>
          <w:rFonts w:asciiTheme="majorHAnsi" w:eastAsia="Times New Roman" w:hAnsiTheme="majorHAnsi"/>
          <w:i/>
          <w:sz w:val="24"/>
          <w:szCs w:val="24"/>
        </w:rPr>
        <w:t>Le Tombeau de Couperin</w:t>
      </w:r>
      <w:r w:rsidRPr="00214E8E">
        <w:rPr>
          <w:rFonts w:asciiTheme="majorHAnsi" w:eastAsia="Times New Roman" w:hAnsiTheme="majorHAnsi"/>
          <w:sz w:val="24"/>
          <w:szCs w:val="24"/>
        </w:rPr>
        <w:t>.</w:t>
      </w:r>
      <w:proofErr w:type="gramEnd"/>
      <w:r w:rsidRPr="00214E8E">
        <w:rPr>
          <w:rFonts w:asciiTheme="majorHAnsi" w:eastAsia="Times New Roman" w:hAnsiTheme="majorHAnsi"/>
          <w:sz w:val="24"/>
          <w:szCs w:val="24"/>
        </w:rPr>
        <w:t xml:space="preserve"> The </w:t>
      </w:r>
      <w:r w:rsidR="00672F3C" w:rsidRPr="00214E8E">
        <w:rPr>
          <w:rFonts w:asciiTheme="majorHAnsi" w:eastAsia="Times New Roman" w:hAnsiTheme="majorHAnsi"/>
          <w:sz w:val="24"/>
          <w:szCs w:val="24"/>
        </w:rPr>
        <w:t>Dance</w:t>
      </w:r>
      <w:r w:rsidR="003F58C8">
        <w:rPr>
          <w:rFonts w:asciiTheme="majorHAnsi" w:eastAsia="Times New Roman" w:hAnsiTheme="majorHAnsi"/>
          <w:sz w:val="24"/>
          <w:szCs w:val="24"/>
        </w:rPr>
        <w:t xml:space="preserve"> can</w:t>
      </w:r>
      <w:r w:rsidR="005A1361" w:rsidRPr="00214E8E">
        <w:rPr>
          <w:rFonts w:asciiTheme="majorHAnsi" w:eastAsia="Times New Roman" w:hAnsiTheme="majorHAnsi"/>
          <w:sz w:val="24"/>
          <w:szCs w:val="24"/>
        </w:rPr>
        <w:t xml:space="preserve"> even be characterised</w:t>
      </w:r>
      <w:r w:rsidR="004562D9" w:rsidRPr="00214E8E">
        <w:rPr>
          <w:rFonts w:asciiTheme="majorHAnsi" w:eastAsia="Times New Roman" w:hAnsiTheme="majorHAnsi"/>
          <w:sz w:val="24"/>
          <w:szCs w:val="24"/>
        </w:rPr>
        <w:t xml:space="preserve"> as </w:t>
      </w:r>
      <w:r w:rsidR="00672F3C" w:rsidRPr="00214E8E">
        <w:rPr>
          <w:rFonts w:asciiTheme="majorHAnsi" w:eastAsia="Times New Roman" w:hAnsiTheme="majorHAnsi"/>
          <w:sz w:val="24"/>
          <w:szCs w:val="24"/>
        </w:rPr>
        <w:t xml:space="preserve">Delius’ </w:t>
      </w:r>
      <w:r w:rsidR="005A1361" w:rsidRPr="00214E8E">
        <w:rPr>
          <w:rFonts w:asciiTheme="majorHAnsi" w:eastAsia="Times New Roman" w:hAnsiTheme="majorHAnsi"/>
          <w:sz w:val="24"/>
          <w:szCs w:val="24"/>
        </w:rPr>
        <w:t>only</w:t>
      </w:r>
      <w:r w:rsidR="004562D9" w:rsidRPr="00214E8E">
        <w:rPr>
          <w:rFonts w:asciiTheme="majorHAnsi" w:eastAsia="Times New Roman" w:hAnsiTheme="majorHAnsi"/>
          <w:sz w:val="24"/>
          <w:szCs w:val="24"/>
        </w:rPr>
        <w:t xml:space="preserve"> essay in Neoclassicism, </w:t>
      </w:r>
      <w:r w:rsidR="00030B48">
        <w:rPr>
          <w:rFonts w:asciiTheme="majorHAnsi" w:eastAsia="Times New Roman" w:hAnsiTheme="majorHAnsi"/>
          <w:sz w:val="24"/>
          <w:szCs w:val="24"/>
        </w:rPr>
        <w:t xml:space="preserve">complete with mock-Baroque ornaments, </w:t>
      </w:r>
      <w:r w:rsidR="005A1361" w:rsidRPr="00214E8E">
        <w:rPr>
          <w:rFonts w:asciiTheme="majorHAnsi" w:eastAsia="Times New Roman" w:hAnsiTheme="majorHAnsi"/>
          <w:sz w:val="24"/>
          <w:szCs w:val="24"/>
        </w:rPr>
        <w:t xml:space="preserve">albeit </w:t>
      </w:r>
      <w:r w:rsidRPr="00214E8E">
        <w:rPr>
          <w:rFonts w:asciiTheme="majorHAnsi" w:eastAsia="Times New Roman" w:hAnsiTheme="majorHAnsi"/>
          <w:sz w:val="24"/>
          <w:szCs w:val="24"/>
        </w:rPr>
        <w:t xml:space="preserve">something of a </w:t>
      </w:r>
      <w:r w:rsidR="005A1361" w:rsidRPr="00214E8E">
        <w:rPr>
          <w:rFonts w:asciiTheme="majorHAnsi" w:eastAsia="Times New Roman" w:hAnsiTheme="majorHAnsi"/>
          <w:sz w:val="24"/>
          <w:szCs w:val="24"/>
        </w:rPr>
        <w:t xml:space="preserve">slightly abortive </w:t>
      </w:r>
      <w:r w:rsidRPr="00214E8E">
        <w:rPr>
          <w:rFonts w:asciiTheme="majorHAnsi" w:eastAsia="Times New Roman" w:hAnsiTheme="majorHAnsi"/>
          <w:sz w:val="24"/>
          <w:szCs w:val="24"/>
        </w:rPr>
        <w:t>pastiche</w:t>
      </w:r>
      <w:r w:rsidR="005A1361" w:rsidRPr="00214E8E">
        <w:rPr>
          <w:rFonts w:asciiTheme="majorHAnsi" w:eastAsia="Times New Roman" w:hAnsiTheme="majorHAnsi"/>
          <w:sz w:val="24"/>
          <w:szCs w:val="24"/>
        </w:rPr>
        <w:t>. Delius</w:t>
      </w:r>
      <w:r w:rsidR="005B01B6" w:rsidRPr="00214E8E">
        <w:rPr>
          <w:rFonts w:asciiTheme="majorHAnsi" w:eastAsia="Times New Roman" w:hAnsiTheme="majorHAnsi"/>
          <w:sz w:val="24"/>
          <w:szCs w:val="24"/>
        </w:rPr>
        <w:t>’</w:t>
      </w:r>
      <w:r w:rsidR="005A1361" w:rsidRPr="00214E8E">
        <w:rPr>
          <w:rFonts w:asciiTheme="majorHAnsi" w:eastAsia="Times New Roman" w:hAnsiTheme="majorHAnsi"/>
          <w:sz w:val="24"/>
          <w:szCs w:val="24"/>
        </w:rPr>
        <w:t xml:space="preserve"> </w:t>
      </w:r>
      <w:r w:rsidR="00687BC3" w:rsidRPr="00214E8E">
        <w:rPr>
          <w:rFonts w:asciiTheme="majorHAnsi" w:eastAsia="Times New Roman" w:hAnsiTheme="majorHAnsi"/>
          <w:sz w:val="24"/>
          <w:szCs w:val="24"/>
        </w:rPr>
        <w:t xml:space="preserve">own pithy </w:t>
      </w:r>
      <w:r w:rsidR="005A1361" w:rsidRPr="00214E8E">
        <w:rPr>
          <w:rFonts w:asciiTheme="majorHAnsi" w:eastAsia="Times New Roman" w:hAnsiTheme="majorHAnsi"/>
          <w:sz w:val="24"/>
          <w:szCs w:val="24"/>
        </w:rPr>
        <w:t xml:space="preserve">description, writing in </w:t>
      </w:r>
      <w:r w:rsidR="005A1361" w:rsidRPr="00214E8E">
        <w:rPr>
          <w:rFonts w:asciiTheme="majorHAnsi" w:eastAsia="Times New Roman" w:hAnsiTheme="majorHAnsi"/>
          <w:i/>
          <w:sz w:val="24"/>
          <w:szCs w:val="24"/>
        </w:rPr>
        <w:t>The Sackbut</w:t>
      </w:r>
      <w:r w:rsidR="005A1361" w:rsidRPr="00214E8E">
        <w:rPr>
          <w:rFonts w:asciiTheme="majorHAnsi" w:eastAsia="Times New Roman" w:hAnsiTheme="majorHAnsi"/>
          <w:sz w:val="24"/>
          <w:szCs w:val="24"/>
        </w:rPr>
        <w:t xml:space="preserve"> a year later, of </w:t>
      </w:r>
      <w:r w:rsidR="00687BC3" w:rsidRPr="00214E8E">
        <w:rPr>
          <w:rFonts w:asciiTheme="majorHAnsi" w:eastAsia="Times New Roman" w:hAnsiTheme="majorHAnsi"/>
          <w:sz w:val="24"/>
          <w:szCs w:val="24"/>
        </w:rPr>
        <w:t xml:space="preserve">the period </w:t>
      </w:r>
      <w:r w:rsidR="005A1361" w:rsidRPr="00214E8E">
        <w:rPr>
          <w:rFonts w:asciiTheme="majorHAnsi" w:eastAsia="Times New Roman" w:hAnsiTheme="majorHAnsi"/>
          <w:sz w:val="24"/>
          <w:szCs w:val="24"/>
        </w:rPr>
        <w:t xml:space="preserve">as an </w:t>
      </w:r>
      <w:r w:rsidR="005B01B6" w:rsidRPr="00214E8E">
        <w:rPr>
          <w:rFonts w:asciiTheme="majorHAnsi" w:eastAsia="Times New Roman" w:hAnsiTheme="majorHAnsi"/>
          <w:sz w:val="24"/>
          <w:szCs w:val="24"/>
        </w:rPr>
        <w:t>“</w:t>
      </w:r>
      <w:r w:rsidR="005A1361" w:rsidRPr="00214E8E">
        <w:rPr>
          <w:rFonts w:asciiTheme="majorHAnsi" w:eastAsia="Times New Roman" w:hAnsiTheme="majorHAnsi"/>
          <w:sz w:val="24"/>
          <w:szCs w:val="24"/>
        </w:rPr>
        <w:t xml:space="preserve">age of anarchy in art: there is no authority, no standard, </w:t>
      </w:r>
      <w:proofErr w:type="gramStart"/>
      <w:r w:rsidR="005A1361" w:rsidRPr="00214E8E">
        <w:rPr>
          <w:rFonts w:asciiTheme="majorHAnsi" w:eastAsia="Times New Roman" w:hAnsiTheme="majorHAnsi"/>
          <w:sz w:val="24"/>
          <w:szCs w:val="24"/>
        </w:rPr>
        <w:t>no</w:t>
      </w:r>
      <w:proofErr w:type="gramEnd"/>
      <w:r w:rsidR="005A1361" w:rsidRPr="00214E8E">
        <w:rPr>
          <w:rFonts w:asciiTheme="majorHAnsi" w:eastAsia="Times New Roman" w:hAnsiTheme="majorHAnsi"/>
          <w:sz w:val="24"/>
          <w:szCs w:val="24"/>
        </w:rPr>
        <w:t xml:space="preserve"> sense of proportion</w:t>
      </w:r>
      <w:r w:rsidR="005B01B6" w:rsidRPr="00214E8E">
        <w:rPr>
          <w:rFonts w:asciiTheme="majorHAnsi" w:eastAsia="Times New Roman" w:hAnsiTheme="majorHAnsi"/>
          <w:sz w:val="24"/>
          <w:szCs w:val="24"/>
        </w:rPr>
        <w:t>”</w:t>
      </w:r>
      <w:r w:rsidR="005A1361" w:rsidRPr="00214E8E">
        <w:rPr>
          <w:rStyle w:val="EndnoteReference"/>
          <w:rFonts w:asciiTheme="majorHAnsi" w:eastAsia="Times New Roman" w:hAnsiTheme="majorHAnsi"/>
          <w:sz w:val="24"/>
          <w:szCs w:val="24"/>
        </w:rPr>
        <w:endnoteReference w:id="22"/>
      </w:r>
      <w:r w:rsidR="0084769A" w:rsidRPr="00214E8E">
        <w:rPr>
          <w:rFonts w:asciiTheme="majorHAnsi" w:eastAsia="Times New Roman" w:hAnsiTheme="majorHAnsi"/>
          <w:sz w:val="24"/>
          <w:szCs w:val="24"/>
        </w:rPr>
        <w:t xml:space="preserve"> (Heseltine termed it </w:t>
      </w:r>
      <w:r w:rsidR="005B01B6" w:rsidRPr="00214E8E">
        <w:rPr>
          <w:rFonts w:asciiTheme="majorHAnsi" w:eastAsia="Times New Roman" w:hAnsiTheme="majorHAnsi"/>
          <w:sz w:val="24"/>
          <w:szCs w:val="24"/>
        </w:rPr>
        <w:t>“</w:t>
      </w:r>
      <w:r w:rsidR="0084769A" w:rsidRPr="00214E8E">
        <w:rPr>
          <w:rFonts w:asciiTheme="majorHAnsi" w:eastAsia="Times New Roman" w:hAnsiTheme="majorHAnsi"/>
          <w:sz w:val="24"/>
          <w:szCs w:val="24"/>
        </w:rPr>
        <w:t>an age of disintegration</w:t>
      </w:r>
      <w:r w:rsidR="005B01B6" w:rsidRPr="00214E8E">
        <w:rPr>
          <w:rFonts w:asciiTheme="majorHAnsi" w:eastAsia="Times New Roman" w:hAnsiTheme="majorHAnsi"/>
          <w:sz w:val="24"/>
          <w:szCs w:val="24"/>
        </w:rPr>
        <w:t>”</w:t>
      </w:r>
      <w:r w:rsidR="0084769A" w:rsidRPr="00214E8E">
        <w:rPr>
          <w:rFonts w:asciiTheme="majorHAnsi" w:eastAsia="Times New Roman" w:hAnsiTheme="majorHAnsi"/>
          <w:sz w:val="24"/>
          <w:szCs w:val="24"/>
        </w:rPr>
        <w:t>),</w:t>
      </w:r>
      <w:r w:rsidR="0084769A" w:rsidRPr="00214E8E">
        <w:rPr>
          <w:rStyle w:val="EndnoteReference"/>
          <w:rFonts w:asciiTheme="majorHAnsi" w:eastAsia="Times New Roman" w:hAnsiTheme="majorHAnsi"/>
          <w:sz w:val="24"/>
          <w:szCs w:val="24"/>
        </w:rPr>
        <w:endnoteReference w:id="23"/>
      </w:r>
      <w:r w:rsidR="005A1361" w:rsidRPr="00214E8E">
        <w:rPr>
          <w:rFonts w:asciiTheme="majorHAnsi" w:eastAsia="Times New Roman" w:hAnsiTheme="majorHAnsi"/>
          <w:sz w:val="24"/>
          <w:szCs w:val="24"/>
        </w:rPr>
        <w:t xml:space="preserve"> </w:t>
      </w:r>
      <w:r w:rsidR="00672F3C" w:rsidRPr="00214E8E">
        <w:rPr>
          <w:rFonts w:asciiTheme="majorHAnsi" w:eastAsia="Times New Roman" w:hAnsiTheme="majorHAnsi"/>
          <w:sz w:val="24"/>
          <w:szCs w:val="24"/>
        </w:rPr>
        <w:t>can</w:t>
      </w:r>
      <w:r w:rsidR="0059283A" w:rsidRPr="00214E8E">
        <w:rPr>
          <w:rFonts w:asciiTheme="majorHAnsi" w:eastAsia="Times New Roman" w:hAnsiTheme="majorHAnsi"/>
          <w:sz w:val="24"/>
          <w:szCs w:val="24"/>
        </w:rPr>
        <w:t xml:space="preserve"> be used to position </w:t>
      </w:r>
      <w:r w:rsidR="005A1361" w:rsidRPr="00214E8E">
        <w:rPr>
          <w:rFonts w:asciiTheme="majorHAnsi" w:eastAsia="Times New Roman" w:hAnsiTheme="majorHAnsi"/>
          <w:sz w:val="24"/>
          <w:szCs w:val="24"/>
        </w:rPr>
        <w:t>the Da</w:t>
      </w:r>
      <w:r w:rsidR="00672F3C" w:rsidRPr="00214E8E">
        <w:rPr>
          <w:rFonts w:asciiTheme="majorHAnsi" w:eastAsia="Times New Roman" w:hAnsiTheme="majorHAnsi"/>
          <w:sz w:val="24"/>
          <w:szCs w:val="24"/>
        </w:rPr>
        <w:t xml:space="preserve">nce as an </w:t>
      </w:r>
      <w:r w:rsidR="005A1361" w:rsidRPr="00214E8E">
        <w:rPr>
          <w:rFonts w:asciiTheme="majorHAnsi" w:eastAsia="Times New Roman" w:hAnsiTheme="majorHAnsi"/>
          <w:sz w:val="24"/>
          <w:szCs w:val="24"/>
        </w:rPr>
        <w:t>inter-war gesture</w:t>
      </w:r>
      <w:r w:rsidR="005434C4" w:rsidRPr="00214E8E">
        <w:rPr>
          <w:rFonts w:asciiTheme="majorHAnsi" w:eastAsia="Times New Roman" w:hAnsiTheme="majorHAnsi"/>
          <w:sz w:val="24"/>
          <w:szCs w:val="24"/>
        </w:rPr>
        <w:t xml:space="preserve"> of parody-cum-homage</w:t>
      </w:r>
      <w:r w:rsidR="003F58C8">
        <w:rPr>
          <w:rFonts w:asciiTheme="majorHAnsi" w:eastAsia="Times New Roman" w:hAnsiTheme="majorHAnsi"/>
          <w:sz w:val="24"/>
          <w:szCs w:val="24"/>
        </w:rPr>
        <w:t>. This aligns the Dance</w:t>
      </w:r>
      <w:r w:rsidR="00672F3C" w:rsidRPr="00214E8E">
        <w:rPr>
          <w:rFonts w:asciiTheme="majorHAnsi" w:eastAsia="Times New Roman" w:hAnsiTheme="majorHAnsi"/>
          <w:sz w:val="24"/>
          <w:szCs w:val="24"/>
        </w:rPr>
        <w:t xml:space="preserve"> with the work of many other composers of the time</w:t>
      </w:r>
      <w:r w:rsidR="003F58C8">
        <w:rPr>
          <w:rFonts w:asciiTheme="majorHAnsi" w:eastAsia="Times New Roman" w:hAnsiTheme="majorHAnsi"/>
          <w:sz w:val="24"/>
          <w:szCs w:val="24"/>
        </w:rPr>
        <w:t xml:space="preserve"> and the kinds of </w:t>
      </w:r>
      <w:proofErr w:type="gramStart"/>
      <w:r w:rsidR="003F58C8">
        <w:rPr>
          <w:rFonts w:asciiTheme="majorHAnsi" w:eastAsia="Times New Roman" w:hAnsiTheme="majorHAnsi"/>
          <w:sz w:val="24"/>
          <w:szCs w:val="24"/>
        </w:rPr>
        <w:t>specially</w:t>
      </w:r>
      <w:proofErr w:type="gramEnd"/>
      <w:r w:rsidR="003F58C8">
        <w:rPr>
          <w:rFonts w:asciiTheme="majorHAnsi" w:eastAsia="Times New Roman" w:hAnsiTheme="majorHAnsi"/>
          <w:sz w:val="24"/>
          <w:szCs w:val="24"/>
        </w:rPr>
        <w:t xml:space="preserve"> composed scores published in special issues of magazines such as </w:t>
      </w:r>
      <w:r w:rsidR="003F58C8" w:rsidRPr="003F58C8">
        <w:rPr>
          <w:rFonts w:asciiTheme="majorHAnsi" w:eastAsia="Times New Roman" w:hAnsiTheme="majorHAnsi"/>
          <w:i/>
          <w:sz w:val="24"/>
          <w:szCs w:val="24"/>
        </w:rPr>
        <w:t>La Revue Musicale</w:t>
      </w:r>
      <w:r w:rsidR="00C73A45" w:rsidRPr="00214E8E">
        <w:rPr>
          <w:rFonts w:asciiTheme="majorHAnsi" w:eastAsia="Times New Roman" w:hAnsiTheme="majorHAnsi"/>
          <w:sz w:val="24"/>
          <w:szCs w:val="24"/>
        </w:rPr>
        <w:t>. Certainly it was unusual for Delius</w:t>
      </w:r>
      <w:r w:rsidRPr="00214E8E">
        <w:rPr>
          <w:rFonts w:asciiTheme="majorHAnsi" w:eastAsia="Times New Roman" w:hAnsiTheme="majorHAnsi"/>
          <w:sz w:val="24"/>
          <w:szCs w:val="24"/>
        </w:rPr>
        <w:t xml:space="preserve"> </w:t>
      </w:r>
      <w:r w:rsidR="00C73A45" w:rsidRPr="00214E8E">
        <w:rPr>
          <w:rFonts w:asciiTheme="majorHAnsi" w:eastAsia="Times New Roman" w:hAnsiTheme="majorHAnsi"/>
          <w:sz w:val="24"/>
          <w:szCs w:val="24"/>
        </w:rPr>
        <w:t>to hark</w:t>
      </w:r>
      <w:r w:rsidRPr="00214E8E">
        <w:rPr>
          <w:rFonts w:asciiTheme="majorHAnsi" w:eastAsia="Times New Roman" w:hAnsiTheme="majorHAnsi"/>
          <w:sz w:val="24"/>
          <w:szCs w:val="24"/>
        </w:rPr>
        <w:t xml:space="preserve"> </w:t>
      </w:r>
      <w:r w:rsidR="00C73A45" w:rsidRPr="00214E8E">
        <w:rPr>
          <w:rFonts w:asciiTheme="majorHAnsi" w:eastAsia="Times New Roman" w:hAnsiTheme="majorHAnsi"/>
          <w:sz w:val="24"/>
          <w:szCs w:val="24"/>
        </w:rPr>
        <w:t xml:space="preserve">back </w:t>
      </w:r>
      <w:r w:rsidRPr="00214E8E">
        <w:rPr>
          <w:rFonts w:asciiTheme="majorHAnsi" w:eastAsia="Times New Roman" w:hAnsiTheme="majorHAnsi"/>
          <w:sz w:val="24"/>
          <w:szCs w:val="24"/>
        </w:rPr>
        <w:t xml:space="preserve">deliberately and unashamedly to </w:t>
      </w:r>
      <w:r w:rsidR="00C73A45" w:rsidRPr="00214E8E">
        <w:rPr>
          <w:rFonts w:asciiTheme="majorHAnsi" w:eastAsia="Times New Roman" w:hAnsiTheme="majorHAnsi"/>
          <w:sz w:val="24"/>
          <w:szCs w:val="24"/>
        </w:rPr>
        <w:t>a Baroque dance form</w:t>
      </w:r>
      <w:r w:rsidR="003D12D2" w:rsidRPr="00214E8E">
        <w:rPr>
          <w:rFonts w:asciiTheme="majorHAnsi" w:eastAsia="Times New Roman" w:hAnsiTheme="majorHAnsi"/>
          <w:sz w:val="24"/>
          <w:szCs w:val="24"/>
        </w:rPr>
        <w:t xml:space="preserve"> rather than </w:t>
      </w:r>
      <w:r w:rsidR="003F58C8">
        <w:rPr>
          <w:rFonts w:asciiTheme="majorHAnsi" w:eastAsia="Times New Roman" w:hAnsiTheme="majorHAnsi"/>
          <w:sz w:val="24"/>
          <w:szCs w:val="24"/>
        </w:rPr>
        <w:t xml:space="preserve">to </w:t>
      </w:r>
      <w:r w:rsidR="003D12D2" w:rsidRPr="00214E8E">
        <w:rPr>
          <w:rFonts w:asciiTheme="majorHAnsi" w:eastAsia="Times New Roman" w:hAnsiTheme="majorHAnsi"/>
          <w:sz w:val="24"/>
          <w:szCs w:val="24"/>
        </w:rPr>
        <w:t>aim for a</w:t>
      </w:r>
      <w:r w:rsidR="003F58C8">
        <w:rPr>
          <w:rFonts w:asciiTheme="majorHAnsi" w:eastAsia="Times New Roman" w:hAnsiTheme="majorHAnsi"/>
          <w:sz w:val="24"/>
          <w:szCs w:val="24"/>
        </w:rPr>
        <w:t>n intuitively satisfying</w:t>
      </w:r>
      <w:r w:rsidR="003D12D2" w:rsidRPr="00214E8E">
        <w:rPr>
          <w:rFonts w:asciiTheme="majorHAnsi" w:eastAsia="Times New Roman" w:hAnsiTheme="majorHAnsi"/>
          <w:sz w:val="24"/>
          <w:szCs w:val="24"/>
        </w:rPr>
        <w:t xml:space="preserve"> </w:t>
      </w:r>
      <w:r w:rsidR="003D12D2" w:rsidRPr="00214E8E">
        <w:rPr>
          <w:rFonts w:asciiTheme="majorHAnsi" w:eastAsia="Times New Roman" w:hAnsiTheme="majorHAnsi"/>
          <w:i/>
          <w:sz w:val="24"/>
          <w:szCs w:val="24"/>
        </w:rPr>
        <w:t>sui generis</w:t>
      </w:r>
      <w:r w:rsidR="003D12D2" w:rsidRPr="00214E8E">
        <w:rPr>
          <w:rFonts w:asciiTheme="majorHAnsi" w:eastAsia="Times New Roman" w:hAnsiTheme="majorHAnsi"/>
          <w:sz w:val="24"/>
          <w:szCs w:val="24"/>
        </w:rPr>
        <w:t xml:space="preserve"> formal shape</w:t>
      </w:r>
      <w:r w:rsidRPr="00214E8E">
        <w:rPr>
          <w:rFonts w:asciiTheme="majorHAnsi" w:eastAsia="Times New Roman" w:hAnsiTheme="majorHAnsi"/>
          <w:sz w:val="24"/>
          <w:szCs w:val="24"/>
        </w:rPr>
        <w:t xml:space="preserve">, </w:t>
      </w:r>
      <w:r w:rsidR="005434C4" w:rsidRPr="00214E8E">
        <w:rPr>
          <w:rFonts w:asciiTheme="majorHAnsi" w:eastAsia="Times New Roman" w:hAnsiTheme="majorHAnsi"/>
          <w:sz w:val="24"/>
          <w:szCs w:val="24"/>
        </w:rPr>
        <w:t xml:space="preserve">but </w:t>
      </w:r>
      <w:r w:rsidR="00C73A45" w:rsidRPr="00214E8E">
        <w:rPr>
          <w:rFonts w:asciiTheme="majorHAnsi" w:eastAsia="Times New Roman" w:hAnsiTheme="majorHAnsi"/>
          <w:sz w:val="24"/>
          <w:szCs w:val="24"/>
        </w:rPr>
        <w:t xml:space="preserve">the music </w:t>
      </w:r>
      <w:r w:rsidRPr="00214E8E">
        <w:rPr>
          <w:rFonts w:asciiTheme="majorHAnsi" w:eastAsia="Times New Roman" w:hAnsiTheme="majorHAnsi"/>
          <w:sz w:val="24"/>
          <w:szCs w:val="24"/>
        </w:rPr>
        <w:t xml:space="preserve">seems not to be bothered by the </w:t>
      </w:r>
      <w:r w:rsidR="00672F3C" w:rsidRPr="00214E8E">
        <w:rPr>
          <w:rFonts w:asciiTheme="majorHAnsi" w:eastAsia="Times New Roman" w:hAnsiTheme="majorHAnsi"/>
          <w:sz w:val="24"/>
          <w:szCs w:val="24"/>
        </w:rPr>
        <w:t xml:space="preserve">aesthetic </w:t>
      </w:r>
      <w:r w:rsidRPr="00214E8E">
        <w:rPr>
          <w:rFonts w:asciiTheme="majorHAnsi" w:eastAsia="Times New Roman" w:hAnsiTheme="majorHAnsi"/>
          <w:sz w:val="24"/>
          <w:szCs w:val="24"/>
        </w:rPr>
        <w:t xml:space="preserve">constraints </w:t>
      </w:r>
      <w:r w:rsidR="00C73A45" w:rsidRPr="00214E8E">
        <w:rPr>
          <w:rFonts w:asciiTheme="majorHAnsi" w:eastAsia="Times New Roman" w:hAnsiTheme="majorHAnsi"/>
          <w:sz w:val="24"/>
          <w:szCs w:val="24"/>
        </w:rPr>
        <w:t xml:space="preserve">imposed by </w:t>
      </w:r>
      <w:r w:rsidRPr="00214E8E">
        <w:rPr>
          <w:rFonts w:asciiTheme="majorHAnsi" w:eastAsia="Times New Roman" w:hAnsiTheme="majorHAnsi"/>
          <w:sz w:val="24"/>
          <w:szCs w:val="24"/>
        </w:rPr>
        <w:t xml:space="preserve">the </w:t>
      </w:r>
      <w:r w:rsidR="00C73A45" w:rsidRPr="00214E8E">
        <w:rPr>
          <w:rFonts w:asciiTheme="majorHAnsi" w:eastAsia="Times New Roman" w:hAnsiTheme="majorHAnsi"/>
          <w:sz w:val="24"/>
          <w:szCs w:val="24"/>
        </w:rPr>
        <w:t xml:space="preserve">formal </w:t>
      </w:r>
      <w:r w:rsidRPr="00214E8E">
        <w:rPr>
          <w:rFonts w:asciiTheme="majorHAnsi" w:eastAsia="Times New Roman" w:hAnsiTheme="majorHAnsi"/>
          <w:sz w:val="24"/>
          <w:szCs w:val="24"/>
        </w:rPr>
        <w:t>shaping of the phrases</w:t>
      </w:r>
      <w:r w:rsidR="005A1361" w:rsidRPr="00214E8E">
        <w:rPr>
          <w:rFonts w:asciiTheme="majorHAnsi" w:eastAsia="Times New Roman" w:hAnsiTheme="majorHAnsi"/>
          <w:sz w:val="24"/>
          <w:szCs w:val="24"/>
        </w:rPr>
        <w:t>.</w:t>
      </w:r>
    </w:p>
    <w:p w:rsidR="0084769A" w:rsidRPr="00214E8E" w:rsidRDefault="0084769A" w:rsidP="002B5EBF">
      <w:pPr>
        <w:pStyle w:val="PlainText"/>
        <w:spacing w:line="480" w:lineRule="auto"/>
        <w:rPr>
          <w:rFonts w:asciiTheme="majorHAnsi" w:eastAsia="Times New Roman" w:hAnsiTheme="majorHAnsi"/>
          <w:sz w:val="24"/>
          <w:szCs w:val="24"/>
        </w:rPr>
      </w:pPr>
    </w:p>
    <w:p w:rsidR="0084769A" w:rsidRPr="00214E8E" w:rsidRDefault="0084769A" w:rsidP="002B5EBF">
      <w:pPr>
        <w:pStyle w:val="PlainText"/>
        <w:spacing w:line="480" w:lineRule="auto"/>
        <w:rPr>
          <w:rFonts w:asciiTheme="majorHAnsi" w:eastAsia="Times New Roman" w:hAnsiTheme="majorHAnsi"/>
          <w:sz w:val="24"/>
          <w:szCs w:val="24"/>
        </w:rPr>
      </w:pPr>
      <w:r w:rsidRPr="00214E8E">
        <w:rPr>
          <w:rFonts w:asciiTheme="majorHAnsi" w:eastAsia="Times New Roman" w:hAnsiTheme="majorHAnsi"/>
          <w:sz w:val="24"/>
          <w:szCs w:val="24"/>
        </w:rPr>
        <w:t>4</w:t>
      </w:r>
    </w:p>
    <w:p w:rsidR="0075359C" w:rsidRPr="00214E8E" w:rsidRDefault="00672F3C" w:rsidP="002B5EBF">
      <w:pPr>
        <w:pStyle w:val="PlainText"/>
        <w:spacing w:line="480" w:lineRule="auto"/>
        <w:rPr>
          <w:rFonts w:asciiTheme="majorHAnsi" w:hAnsiTheme="majorHAnsi"/>
          <w:sz w:val="24"/>
          <w:szCs w:val="24"/>
        </w:rPr>
      </w:pPr>
      <w:r w:rsidRPr="00214E8E">
        <w:rPr>
          <w:rFonts w:asciiTheme="majorHAnsi" w:hAnsiTheme="majorHAnsi"/>
          <w:sz w:val="24"/>
          <w:szCs w:val="24"/>
        </w:rPr>
        <w:t>T</w:t>
      </w:r>
      <w:r w:rsidR="0075359C" w:rsidRPr="00214E8E">
        <w:rPr>
          <w:rFonts w:asciiTheme="majorHAnsi" w:hAnsiTheme="majorHAnsi"/>
          <w:sz w:val="24"/>
          <w:szCs w:val="24"/>
        </w:rPr>
        <w:t xml:space="preserve">his said, </w:t>
      </w:r>
      <w:r w:rsidR="005A1361" w:rsidRPr="00214E8E">
        <w:rPr>
          <w:rFonts w:asciiTheme="majorHAnsi" w:hAnsiTheme="majorHAnsi"/>
          <w:sz w:val="24"/>
          <w:szCs w:val="24"/>
        </w:rPr>
        <w:t xml:space="preserve">even with the kind of suggestive context afforded by the Ravel, </w:t>
      </w:r>
      <w:r w:rsidR="0075359C" w:rsidRPr="00214E8E">
        <w:rPr>
          <w:rFonts w:asciiTheme="majorHAnsi" w:hAnsiTheme="majorHAnsi"/>
          <w:sz w:val="24"/>
          <w:szCs w:val="24"/>
        </w:rPr>
        <w:t xml:space="preserve">all of the above </w:t>
      </w:r>
      <w:r w:rsidR="005434C4" w:rsidRPr="00214E8E">
        <w:rPr>
          <w:rFonts w:asciiTheme="majorHAnsi" w:hAnsiTheme="majorHAnsi"/>
          <w:sz w:val="24"/>
          <w:szCs w:val="24"/>
        </w:rPr>
        <w:t xml:space="preserve">historical </w:t>
      </w:r>
      <w:r w:rsidR="005A1361" w:rsidRPr="00214E8E">
        <w:rPr>
          <w:rFonts w:asciiTheme="majorHAnsi" w:hAnsiTheme="majorHAnsi"/>
          <w:sz w:val="24"/>
          <w:szCs w:val="24"/>
        </w:rPr>
        <w:t>discourse around Delius</w:t>
      </w:r>
      <w:r w:rsidR="005B01B6" w:rsidRPr="00214E8E">
        <w:rPr>
          <w:rFonts w:asciiTheme="majorHAnsi" w:hAnsiTheme="majorHAnsi"/>
          <w:sz w:val="24"/>
          <w:szCs w:val="24"/>
        </w:rPr>
        <w:t>’</w:t>
      </w:r>
      <w:r w:rsidR="005A1361" w:rsidRPr="00214E8E">
        <w:rPr>
          <w:rFonts w:asciiTheme="majorHAnsi" w:hAnsiTheme="majorHAnsi"/>
          <w:sz w:val="24"/>
          <w:szCs w:val="24"/>
        </w:rPr>
        <w:t xml:space="preserve"> Dance </w:t>
      </w:r>
      <w:r w:rsidR="0075359C" w:rsidRPr="00214E8E">
        <w:rPr>
          <w:rFonts w:asciiTheme="majorHAnsi" w:hAnsiTheme="majorHAnsi"/>
          <w:sz w:val="24"/>
          <w:szCs w:val="24"/>
        </w:rPr>
        <w:t xml:space="preserve">leaves us in </w:t>
      </w:r>
      <w:r w:rsidR="0084769A" w:rsidRPr="00214E8E">
        <w:rPr>
          <w:rFonts w:asciiTheme="majorHAnsi" w:hAnsiTheme="majorHAnsi"/>
          <w:sz w:val="24"/>
          <w:szCs w:val="24"/>
        </w:rPr>
        <w:t>something</w:t>
      </w:r>
      <w:r w:rsidR="0075359C" w:rsidRPr="00214E8E">
        <w:rPr>
          <w:rFonts w:asciiTheme="majorHAnsi" w:hAnsiTheme="majorHAnsi"/>
          <w:sz w:val="24"/>
          <w:szCs w:val="24"/>
        </w:rPr>
        <w:t xml:space="preserve"> of a quandary with respect to Delius, </w:t>
      </w:r>
      <w:r w:rsidR="005B01B6" w:rsidRPr="00214E8E">
        <w:rPr>
          <w:rFonts w:asciiTheme="majorHAnsi" w:hAnsiTheme="majorHAnsi"/>
          <w:sz w:val="24"/>
          <w:szCs w:val="24"/>
        </w:rPr>
        <w:t>“</w:t>
      </w:r>
      <w:r w:rsidR="0075359C" w:rsidRPr="00214E8E">
        <w:rPr>
          <w:rFonts w:asciiTheme="majorHAnsi" w:hAnsiTheme="majorHAnsi"/>
          <w:sz w:val="24"/>
          <w:szCs w:val="24"/>
        </w:rPr>
        <w:t>whoever he may be</w:t>
      </w:r>
      <w:r w:rsidR="005B01B6" w:rsidRPr="00214E8E">
        <w:rPr>
          <w:rFonts w:asciiTheme="majorHAnsi" w:hAnsiTheme="majorHAnsi"/>
          <w:sz w:val="24"/>
          <w:szCs w:val="24"/>
        </w:rPr>
        <w:t>”</w:t>
      </w:r>
      <w:r w:rsidR="0075359C" w:rsidRPr="00214E8E">
        <w:rPr>
          <w:rFonts w:asciiTheme="majorHAnsi" w:hAnsiTheme="majorHAnsi"/>
          <w:sz w:val="24"/>
          <w:szCs w:val="24"/>
        </w:rPr>
        <w:t>.</w:t>
      </w:r>
      <w:r w:rsidR="00C73A45" w:rsidRPr="00214E8E">
        <w:rPr>
          <w:rFonts w:asciiTheme="majorHAnsi" w:hAnsiTheme="majorHAnsi"/>
          <w:sz w:val="24"/>
          <w:szCs w:val="24"/>
        </w:rPr>
        <w:t xml:space="preserve"> Robert Montgomery and Robert Threlfall write</w:t>
      </w:r>
      <w:r w:rsidR="00546141">
        <w:rPr>
          <w:rFonts w:asciiTheme="majorHAnsi" w:hAnsiTheme="majorHAnsi"/>
          <w:sz w:val="24"/>
          <w:szCs w:val="24"/>
        </w:rPr>
        <w:t xml:space="preserve"> of the years following the Dance</w:t>
      </w:r>
      <w:r w:rsidR="00C73A45" w:rsidRPr="00214E8E">
        <w:rPr>
          <w:rFonts w:asciiTheme="majorHAnsi" w:hAnsiTheme="majorHAnsi"/>
          <w:sz w:val="24"/>
          <w:szCs w:val="24"/>
        </w:rPr>
        <w:t xml:space="preserve"> that</w:t>
      </w:r>
      <w:r w:rsidR="00546141">
        <w:rPr>
          <w:rFonts w:asciiTheme="majorHAnsi" w:hAnsiTheme="majorHAnsi"/>
          <w:sz w:val="24"/>
          <w:szCs w:val="24"/>
        </w:rPr>
        <w:t>,</w:t>
      </w:r>
      <w:r w:rsidR="00C73A45" w:rsidRPr="00214E8E">
        <w:rPr>
          <w:rFonts w:asciiTheme="majorHAnsi" w:hAnsiTheme="majorHAnsi"/>
          <w:sz w:val="24"/>
          <w:szCs w:val="24"/>
        </w:rPr>
        <w:t xml:space="preserve"> </w:t>
      </w:r>
      <w:r w:rsidR="005B01B6" w:rsidRPr="00214E8E">
        <w:rPr>
          <w:rFonts w:asciiTheme="majorHAnsi" w:hAnsiTheme="majorHAnsi"/>
          <w:sz w:val="24"/>
          <w:szCs w:val="24"/>
        </w:rPr>
        <w:t>“</w:t>
      </w:r>
      <w:r w:rsidR="00C73A45" w:rsidRPr="00214E8E">
        <w:rPr>
          <w:rFonts w:asciiTheme="majorHAnsi" w:hAnsiTheme="majorHAnsi"/>
          <w:sz w:val="24"/>
          <w:szCs w:val="24"/>
        </w:rPr>
        <w:t>With the waning of Delius</w:t>
      </w:r>
      <w:r w:rsidR="005B01B6" w:rsidRPr="00214E8E">
        <w:rPr>
          <w:rFonts w:asciiTheme="majorHAnsi" w:hAnsiTheme="majorHAnsi"/>
          <w:sz w:val="24"/>
          <w:szCs w:val="24"/>
        </w:rPr>
        <w:t>’</w:t>
      </w:r>
      <w:r w:rsidR="00C73A45" w:rsidRPr="00214E8E">
        <w:rPr>
          <w:rFonts w:asciiTheme="majorHAnsi" w:hAnsiTheme="majorHAnsi"/>
          <w:sz w:val="24"/>
          <w:szCs w:val="24"/>
        </w:rPr>
        <w:t xml:space="preserve">s physical powers in the 1920s a number of inevitably smaller projects were carried out, with the increasing </w:t>
      </w:r>
      <w:r w:rsidR="00C73A45" w:rsidRPr="00214E8E">
        <w:rPr>
          <w:rFonts w:asciiTheme="majorHAnsi" w:hAnsiTheme="majorHAnsi"/>
          <w:sz w:val="24"/>
          <w:szCs w:val="24"/>
        </w:rPr>
        <w:lastRenderedPageBreak/>
        <w:t>assistance of Jelka.</w:t>
      </w:r>
      <w:r w:rsidR="005B01B6" w:rsidRPr="00214E8E">
        <w:rPr>
          <w:rFonts w:asciiTheme="majorHAnsi" w:hAnsiTheme="majorHAnsi"/>
          <w:sz w:val="24"/>
          <w:szCs w:val="24"/>
        </w:rPr>
        <w:t>”</w:t>
      </w:r>
      <w:r w:rsidR="00C73A45" w:rsidRPr="00214E8E">
        <w:rPr>
          <w:rStyle w:val="EndnoteReference"/>
          <w:rFonts w:asciiTheme="majorHAnsi" w:hAnsiTheme="majorHAnsi"/>
          <w:sz w:val="24"/>
          <w:szCs w:val="24"/>
        </w:rPr>
        <w:endnoteReference w:id="24"/>
      </w:r>
      <w:r w:rsidR="00AE12D2" w:rsidRPr="00214E8E">
        <w:rPr>
          <w:rFonts w:asciiTheme="majorHAnsi" w:hAnsiTheme="majorHAnsi"/>
          <w:sz w:val="24"/>
          <w:szCs w:val="24"/>
        </w:rPr>
        <w:t xml:space="preserve"> </w:t>
      </w:r>
      <w:r w:rsidR="0059283A" w:rsidRPr="00214E8E">
        <w:rPr>
          <w:rFonts w:asciiTheme="majorHAnsi" w:hAnsiTheme="majorHAnsi"/>
          <w:sz w:val="24"/>
          <w:szCs w:val="24"/>
        </w:rPr>
        <w:t xml:space="preserve">Although I do not wish to elevate the Dance above its place within the Delian oeuvre, </w:t>
      </w:r>
      <w:r w:rsidR="00AE12D2" w:rsidRPr="00214E8E">
        <w:rPr>
          <w:rFonts w:asciiTheme="majorHAnsi" w:hAnsiTheme="majorHAnsi"/>
          <w:sz w:val="24"/>
          <w:szCs w:val="24"/>
        </w:rPr>
        <w:t xml:space="preserve">I am not convinced that </w:t>
      </w:r>
      <w:r w:rsidR="0059283A" w:rsidRPr="00214E8E">
        <w:rPr>
          <w:rFonts w:asciiTheme="majorHAnsi" w:hAnsiTheme="majorHAnsi"/>
          <w:sz w:val="24"/>
          <w:szCs w:val="24"/>
        </w:rPr>
        <w:t xml:space="preserve">it </w:t>
      </w:r>
      <w:r w:rsidR="00AE12D2" w:rsidRPr="00214E8E">
        <w:rPr>
          <w:rFonts w:asciiTheme="majorHAnsi" w:hAnsiTheme="majorHAnsi"/>
          <w:sz w:val="24"/>
          <w:szCs w:val="24"/>
        </w:rPr>
        <w:t>deserves this</w:t>
      </w:r>
      <w:r w:rsidRPr="00214E8E">
        <w:rPr>
          <w:rFonts w:asciiTheme="majorHAnsi" w:hAnsiTheme="majorHAnsi"/>
          <w:sz w:val="24"/>
          <w:szCs w:val="24"/>
        </w:rPr>
        <w:t xml:space="preserve"> kind of</w:t>
      </w:r>
      <w:r w:rsidR="00AE12D2" w:rsidRPr="00214E8E">
        <w:rPr>
          <w:rFonts w:asciiTheme="majorHAnsi" w:hAnsiTheme="majorHAnsi"/>
          <w:sz w:val="24"/>
          <w:szCs w:val="24"/>
        </w:rPr>
        <w:t xml:space="preserve"> assessment. It is not a major work, measuring by any criterion relevant to Delius (or Ravel, for that matter),</w:t>
      </w:r>
      <w:r w:rsidR="0084769A" w:rsidRPr="00214E8E">
        <w:rPr>
          <w:rFonts w:asciiTheme="majorHAnsi" w:hAnsiTheme="majorHAnsi"/>
          <w:sz w:val="24"/>
          <w:szCs w:val="24"/>
        </w:rPr>
        <w:t xml:space="preserve"> or </w:t>
      </w:r>
      <w:r w:rsidR="0059283A" w:rsidRPr="00214E8E">
        <w:rPr>
          <w:rFonts w:asciiTheme="majorHAnsi" w:hAnsiTheme="majorHAnsi"/>
          <w:sz w:val="24"/>
          <w:szCs w:val="24"/>
        </w:rPr>
        <w:t xml:space="preserve">any criterion </w:t>
      </w:r>
      <w:r w:rsidR="005434C4" w:rsidRPr="00214E8E">
        <w:rPr>
          <w:rFonts w:asciiTheme="majorHAnsi" w:hAnsiTheme="majorHAnsi"/>
          <w:sz w:val="24"/>
          <w:szCs w:val="24"/>
        </w:rPr>
        <w:t xml:space="preserve">relevant </w:t>
      </w:r>
      <w:r w:rsidR="0084769A" w:rsidRPr="00214E8E">
        <w:rPr>
          <w:rFonts w:asciiTheme="majorHAnsi" w:hAnsiTheme="majorHAnsi"/>
          <w:sz w:val="24"/>
          <w:szCs w:val="24"/>
        </w:rPr>
        <w:t>to twentieth-century harpsichord composition,</w:t>
      </w:r>
      <w:r w:rsidR="00AE12D2" w:rsidRPr="00214E8E">
        <w:rPr>
          <w:rFonts w:asciiTheme="majorHAnsi" w:hAnsiTheme="majorHAnsi"/>
          <w:sz w:val="24"/>
          <w:szCs w:val="24"/>
        </w:rPr>
        <w:t xml:space="preserve"> but on its own terms </w:t>
      </w:r>
      <w:r w:rsidR="0059283A" w:rsidRPr="00214E8E">
        <w:rPr>
          <w:rFonts w:asciiTheme="majorHAnsi" w:hAnsiTheme="majorHAnsi"/>
          <w:sz w:val="24"/>
          <w:szCs w:val="24"/>
        </w:rPr>
        <w:t xml:space="preserve">I think that </w:t>
      </w:r>
      <w:r w:rsidR="00AE12D2" w:rsidRPr="00214E8E">
        <w:rPr>
          <w:rFonts w:asciiTheme="majorHAnsi" w:hAnsiTheme="majorHAnsi"/>
          <w:sz w:val="24"/>
          <w:szCs w:val="24"/>
        </w:rPr>
        <w:t>it is aesthetically successful</w:t>
      </w:r>
      <w:r w:rsidR="0059283A" w:rsidRPr="00214E8E">
        <w:rPr>
          <w:rFonts w:asciiTheme="majorHAnsi" w:hAnsiTheme="majorHAnsi"/>
          <w:sz w:val="24"/>
          <w:szCs w:val="24"/>
        </w:rPr>
        <w:t>, “whatever it may be”</w:t>
      </w:r>
      <w:r w:rsidRPr="00214E8E">
        <w:rPr>
          <w:rFonts w:asciiTheme="majorHAnsi" w:hAnsiTheme="majorHAnsi"/>
          <w:sz w:val="24"/>
          <w:szCs w:val="24"/>
        </w:rPr>
        <w:t>, so to speak. So, in a further</w:t>
      </w:r>
      <w:r w:rsidR="00AE12D2" w:rsidRPr="00214E8E">
        <w:rPr>
          <w:rFonts w:asciiTheme="majorHAnsi" w:hAnsiTheme="majorHAnsi"/>
          <w:sz w:val="24"/>
          <w:szCs w:val="24"/>
        </w:rPr>
        <w:t xml:space="preserve"> act of </w:t>
      </w:r>
      <w:r w:rsidRPr="00214E8E">
        <w:rPr>
          <w:rFonts w:asciiTheme="majorHAnsi" w:hAnsiTheme="majorHAnsi"/>
          <w:sz w:val="24"/>
          <w:szCs w:val="24"/>
        </w:rPr>
        <w:t>juxtaposition</w:t>
      </w:r>
      <w:r w:rsidR="00AE12D2" w:rsidRPr="00214E8E">
        <w:rPr>
          <w:rFonts w:asciiTheme="majorHAnsi" w:hAnsiTheme="majorHAnsi"/>
          <w:sz w:val="24"/>
          <w:szCs w:val="24"/>
        </w:rPr>
        <w:t xml:space="preserve">, and continuing to seek out </w:t>
      </w:r>
      <w:r w:rsidRPr="00214E8E">
        <w:rPr>
          <w:rFonts w:asciiTheme="majorHAnsi" w:hAnsiTheme="majorHAnsi"/>
          <w:sz w:val="24"/>
          <w:szCs w:val="24"/>
        </w:rPr>
        <w:t xml:space="preserve">aspects of </w:t>
      </w:r>
      <w:r w:rsidR="00AE12D2" w:rsidRPr="00214E8E">
        <w:rPr>
          <w:rFonts w:asciiTheme="majorHAnsi" w:hAnsiTheme="majorHAnsi"/>
          <w:sz w:val="24"/>
          <w:szCs w:val="24"/>
        </w:rPr>
        <w:t>Delius</w:t>
      </w:r>
      <w:r w:rsidR="0059283A" w:rsidRPr="00214E8E">
        <w:rPr>
          <w:rFonts w:asciiTheme="majorHAnsi" w:hAnsiTheme="majorHAnsi"/>
          <w:sz w:val="24"/>
          <w:szCs w:val="24"/>
        </w:rPr>
        <w:t>’ identity</w:t>
      </w:r>
      <w:r w:rsidR="00AE12D2" w:rsidRPr="00214E8E">
        <w:rPr>
          <w:rFonts w:asciiTheme="majorHAnsi" w:hAnsiTheme="majorHAnsi"/>
          <w:sz w:val="24"/>
          <w:szCs w:val="24"/>
        </w:rPr>
        <w:t xml:space="preserve"> </w:t>
      </w:r>
      <w:r w:rsidR="0059283A" w:rsidRPr="00214E8E">
        <w:rPr>
          <w:rFonts w:asciiTheme="majorHAnsi" w:hAnsiTheme="majorHAnsi"/>
          <w:sz w:val="24"/>
          <w:szCs w:val="24"/>
        </w:rPr>
        <w:t>through</w:t>
      </w:r>
      <w:r w:rsidR="00AE12D2" w:rsidRPr="00214E8E">
        <w:rPr>
          <w:rFonts w:asciiTheme="majorHAnsi" w:hAnsiTheme="majorHAnsi"/>
          <w:sz w:val="24"/>
          <w:szCs w:val="24"/>
        </w:rPr>
        <w:t xml:space="preserve"> his Dance, I now turn to Clutton-Brock</w:t>
      </w:r>
      <w:r w:rsidR="005B01B6" w:rsidRPr="00214E8E">
        <w:rPr>
          <w:rFonts w:asciiTheme="majorHAnsi" w:hAnsiTheme="majorHAnsi"/>
          <w:sz w:val="24"/>
          <w:szCs w:val="24"/>
        </w:rPr>
        <w:t>’</w:t>
      </w:r>
      <w:r w:rsidR="00AE12D2" w:rsidRPr="00214E8E">
        <w:rPr>
          <w:rFonts w:asciiTheme="majorHAnsi" w:hAnsiTheme="majorHAnsi"/>
          <w:sz w:val="24"/>
          <w:szCs w:val="24"/>
        </w:rPr>
        <w:t xml:space="preserve">s essay in </w:t>
      </w:r>
      <w:r w:rsidR="00AE12D2" w:rsidRPr="00214E8E">
        <w:rPr>
          <w:rFonts w:asciiTheme="majorHAnsi" w:hAnsiTheme="majorHAnsi"/>
          <w:i/>
          <w:sz w:val="24"/>
          <w:szCs w:val="24"/>
        </w:rPr>
        <w:t>Music and Letters</w:t>
      </w:r>
      <w:r w:rsidR="0084769A" w:rsidRPr="00214E8E">
        <w:rPr>
          <w:rFonts w:asciiTheme="majorHAnsi" w:hAnsiTheme="majorHAnsi"/>
          <w:sz w:val="24"/>
          <w:szCs w:val="24"/>
        </w:rPr>
        <w:t xml:space="preserve">, introduced </w:t>
      </w:r>
      <w:r w:rsidR="00546141">
        <w:rPr>
          <w:rFonts w:asciiTheme="majorHAnsi" w:hAnsiTheme="majorHAnsi"/>
          <w:sz w:val="24"/>
          <w:szCs w:val="24"/>
        </w:rPr>
        <w:t xml:space="preserve">in passing </w:t>
      </w:r>
      <w:r w:rsidR="0084769A" w:rsidRPr="00214E8E">
        <w:rPr>
          <w:rFonts w:asciiTheme="majorHAnsi" w:hAnsiTheme="majorHAnsi"/>
          <w:sz w:val="24"/>
          <w:szCs w:val="24"/>
        </w:rPr>
        <w:t>above. R</w:t>
      </w:r>
      <w:r w:rsidR="00AE12D2" w:rsidRPr="00214E8E">
        <w:rPr>
          <w:rFonts w:asciiTheme="majorHAnsi" w:hAnsiTheme="majorHAnsi"/>
          <w:sz w:val="24"/>
          <w:szCs w:val="24"/>
        </w:rPr>
        <w:t xml:space="preserve">ead in the round, this </w:t>
      </w:r>
      <w:r w:rsidR="0084769A" w:rsidRPr="00214E8E">
        <w:rPr>
          <w:rFonts w:asciiTheme="majorHAnsi" w:hAnsiTheme="majorHAnsi"/>
          <w:sz w:val="24"/>
          <w:szCs w:val="24"/>
        </w:rPr>
        <w:t xml:space="preserve">otherwise unassuming </w:t>
      </w:r>
      <w:r w:rsidR="00AE12D2" w:rsidRPr="00214E8E">
        <w:rPr>
          <w:rFonts w:asciiTheme="majorHAnsi" w:hAnsiTheme="majorHAnsi"/>
          <w:sz w:val="24"/>
          <w:szCs w:val="24"/>
        </w:rPr>
        <w:t xml:space="preserve">article draws together several contemporary threads, including the </w:t>
      </w:r>
      <w:r w:rsidR="0084769A" w:rsidRPr="00214E8E">
        <w:rPr>
          <w:rFonts w:asciiTheme="majorHAnsi" w:hAnsiTheme="majorHAnsi"/>
          <w:sz w:val="24"/>
          <w:szCs w:val="24"/>
        </w:rPr>
        <w:t xml:space="preserve">artistic </w:t>
      </w:r>
      <w:r w:rsidR="00AE12D2" w:rsidRPr="00214E8E">
        <w:rPr>
          <w:rFonts w:asciiTheme="majorHAnsi" w:hAnsiTheme="majorHAnsi"/>
          <w:sz w:val="24"/>
          <w:szCs w:val="24"/>
        </w:rPr>
        <w:t>context surrounding th</w:t>
      </w:r>
      <w:r w:rsidRPr="00214E8E">
        <w:rPr>
          <w:rFonts w:asciiTheme="majorHAnsi" w:hAnsiTheme="majorHAnsi"/>
          <w:sz w:val="24"/>
          <w:szCs w:val="24"/>
        </w:rPr>
        <w:t xml:space="preserve">e books by Heseltine and Dyson. It also points </w:t>
      </w:r>
      <w:r w:rsidR="00AE12D2" w:rsidRPr="00214E8E">
        <w:rPr>
          <w:rFonts w:asciiTheme="majorHAnsi" w:hAnsiTheme="majorHAnsi"/>
          <w:sz w:val="24"/>
          <w:szCs w:val="24"/>
        </w:rPr>
        <w:t xml:space="preserve">outwards </w:t>
      </w:r>
      <w:r w:rsidRPr="00214E8E">
        <w:rPr>
          <w:rFonts w:asciiTheme="majorHAnsi" w:hAnsiTheme="majorHAnsi"/>
          <w:sz w:val="24"/>
          <w:szCs w:val="24"/>
        </w:rPr>
        <w:t xml:space="preserve">towards </w:t>
      </w:r>
      <w:r w:rsidR="00AE12D2" w:rsidRPr="00214E8E">
        <w:rPr>
          <w:rFonts w:asciiTheme="majorHAnsi" w:hAnsiTheme="majorHAnsi"/>
          <w:sz w:val="24"/>
          <w:szCs w:val="24"/>
        </w:rPr>
        <w:t xml:space="preserve">the wider world of English </w:t>
      </w:r>
      <w:r w:rsidR="00AE12D2" w:rsidRPr="00214E8E">
        <w:rPr>
          <w:rFonts w:asciiTheme="majorHAnsi" w:hAnsiTheme="majorHAnsi"/>
          <w:i/>
          <w:sz w:val="24"/>
          <w:szCs w:val="24"/>
        </w:rPr>
        <w:t>Belles-Lettres</w:t>
      </w:r>
      <w:r w:rsidR="00AE12D2" w:rsidRPr="00214E8E">
        <w:rPr>
          <w:rFonts w:asciiTheme="majorHAnsi" w:hAnsiTheme="majorHAnsi"/>
          <w:sz w:val="24"/>
          <w:szCs w:val="24"/>
        </w:rPr>
        <w:t xml:space="preserve"> and the discourse of modernism and cosmopolitanism.</w:t>
      </w:r>
      <w:r w:rsidR="00AE12D2" w:rsidRPr="00214E8E">
        <w:rPr>
          <w:rStyle w:val="EndnoteReference"/>
          <w:rFonts w:asciiTheme="majorHAnsi" w:hAnsiTheme="majorHAnsi"/>
          <w:sz w:val="24"/>
          <w:szCs w:val="24"/>
        </w:rPr>
        <w:endnoteReference w:id="25"/>
      </w:r>
    </w:p>
    <w:p w:rsidR="00C56257" w:rsidRPr="00214E8E" w:rsidRDefault="00AE12D2" w:rsidP="002B5EBF">
      <w:pPr>
        <w:spacing w:line="480" w:lineRule="auto"/>
        <w:ind w:firstLine="720"/>
        <w:rPr>
          <w:rFonts w:asciiTheme="majorHAnsi" w:eastAsia="Times New Roman" w:hAnsiTheme="majorHAnsi"/>
        </w:rPr>
      </w:pPr>
      <w:r w:rsidRPr="00214E8E">
        <w:rPr>
          <w:rFonts w:asciiTheme="majorHAnsi" w:eastAsia="Times New Roman" w:hAnsiTheme="majorHAnsi"/>
        </w:rPr>
        <w:t xml:space="preserve">Clutton-Brock (1868-1924) </w:t>
      </w:r>
      <w:r w:rsidR="00C56257" w:rsidRPr="00214E8E">
        <w:rPr>
          <w:rFonts w:asciiTheme="majorHAnsi" w:eastAsia="Times New Roman" w:hAnsiTheme="majorHAnsi"/>
        </w:rPr>
        <w:t>was a widely respected ess</w:t>
      </w:r>
      <w:r w:rsidRPr="00214E8E">
        <w:rPr>
          <w:rFonts w:asciiTheme="majorHAnsi" w:eastAsia="Times New Roman" w:hAnsiTheme="majorHAnsi"/>
        </w:rPr>
        <w:t>ayist and journalist of his day. E</w:t>
      </w:r>
      <w:r w:rsidR="00C56257" w:rsidRPr="00214E8E">
        <w:rPr>
          <w:rFonts w:asciiTheme="majorHAnsi" w:eastAsia="Times New Roman" w:hAnsiTheme="majorHAnsi"/>
        </w:rPr>
        <w:t xml:space="preserve">ducated at Eton and Oxford, </w:t>
      </w:r>
      <w:r w:rsidRPr="00214E8E">
        <w:rPr>
          <w:rFonts w:asciiTheme="majorHAnsi" w:eastAsia="Times New Roman" w:hAnsiTheme="majorHAnsi"/>
        </w:rPr>
        <w:t xml:space="preserve">he played </w:t>
      </w:r>
      <w:r w:rsidR="00C56257" w:rsidRPr="00214E8E">
        <w:rPr>
          <w:rFonts w:asciiTheme="majorHAnsi" w:eastAsia="Times New Roman" w:hAnsiTheme="majorHAnsi"/>
        </w:rPr>
        <w:t xml:space="preserve">a major contributory role to the early success of the </w:t>
      </w:r>
      <w:r w:rsidR="00C56257" w:rsidRPr="00214E8E">
        <w:rPr>
          <w:rFonts w:asciiTheme="majorHAnsi" w:eastAsia="Times New Roman" w:hAnsiTheme="majorHAnsi"/>
          <w:i/>
        </w:rPr>
        <w:t>Times Literary Supplement</w:t>
      </w:r>
      <w:r w:rsidRPr="00214E8E">
        <w:rPr>
          <w:rFonts w:asciiTheme="majorHAnsi" w:eastAsia="Times New Roman" w:hAnsiTheme="majorHAnsi"/>
        </w:rPr>
        <w:t xml:space="preserve">, when it was </w:t>
      </w:r>
      <w:r w:rsidR="00C56257" w:rsidRPr="00214E8E">
        <w:rPr>
          <w:rFonts w:asciiTheme="majorHAnsi" w:eastAsia="Times New Roman" w:hAnsiTheme="majorHAnsi"/>
        </w:rPr>
        <w:t xml:space="preserve">founded </w:t>
      </w:r>
      <w:r w:rsidRPr="00214E8E">
        <w:rPr>
          <w:rFonts w:asciiTheme="majorHAnsi" w:eastAsia="Times New Roman" w:hAnsiTheme="majorHAnsi"/>
        </w:rPr>
        <w:t>in 1902</w:t>
      </w:r>
      <w:r w:rsidR="00C56257" w:rsidRPr="00214E8E">
        <w:rPr>
          <w:rFonts w:asciiTheme="majorHAnsi" w:eastAsia="Times New Roman" w:hAnsiTheme="majorHAnsi"/>
        </w:rPr>
        <w:t xml:space="preserve">. In 1908 Clutton-Brock became the art critic for </w:t>
      </w:r>
      <w:r w:rsidR="00C56257" w:rsidRPr="00214E8E">
        <w:rPr>
          <w:rFonts w:asciiTheme="majorHAnsi" w:eastAsia="Times New Roman" w:hAnsiTheme="majorHAnsi"/>
          <w:i/>
        </w:rPr>
        <w:t>The Times</w:t>
      </w:r>
      <w:r w:rsidR="00C56257" w:rsidRPr="00214E8E">
        <w:rPr>
          <w:rFonts w:asciiTheme="majorHAnsi" w:eastAsia="Times New Roman" w:hAnsiTheme="majorHAnsi"/>
        </w:rPr>
        <w:t xml:space="preserve">, </w:t>
      </w:r>
      <w:r w:rsidR="00672F3C" w:rsidRPr="00214E8E">
        <w:rPr>
          <w:rFonts w:asciiTheme="majorHAnsi" w:eastAsia="Times New Roman" w:hAnsiTheme="majorHAnsi"/>
        </w:rPr>
        <w:t>writing prolifically for it</w:t>
      </w:r>
      <w:r w:rsidR="00546141">
        <w:rPr>
          <w:rFonts w:asciiTheme="majorHAnsi" w:eastAsia="Times New Roman" w:hAnsiTheme="majorHAnsi"/>
        </w:rPr>
        <w:t xml:space="preserve"> (as the editor of </w:t>
      </w:r>
      <w:r w:rsidR="00546141" w:rsidRPr="00546141">
        <w:rPr>
          <w:rFonts w:asciiTheme="majorHAnsi" w:eastAsia="Times New Roman" w:hAnsiTheme="majorHAnsi"/>
          <w:i/>
        </w:rPr>
        <w:t>Music and Letters</w:t>
      </w:r>
      <w:r w:rsidR="00546141">
        <w:rPr>
          <w:rFonts w:asciiTheme="majorHAnsi" w:eastAsia="Times New Roman" w:hAnsiTheme="majorHAnsi"/>
        </w:rPr>
        <w:t xml:space="preserve"> would do later)</w:t>
      </w:r>
      <w:r w:rsidR="00672F3C" w:rsidRPr="00214E8E">
        <w:rPr>
          <w:rFonts w:asciiTheme="majorHAnsi" w:eastAsia="Times New Roman" w:hAnsiTheme="majorHAnsi"/>
        </w:rPr>
        <w:t xml:space="preserve">. Over the following decade he published </w:t>
      </w:r>
      <w:r w:rsidR="00C56257" w:rsidRPr="00214E8E">
        <w:rPr>
          <w:rFonts w:asciiTheme="majorHAnsi" w:eastAsia="Times New Roman" w:hAnsiTheme="majorHAnsi"/>
        </w:rPr>
        <w:t xml:space="preserve">several books, including one on Shelley (1909), </w:t>
      </w:r>
      <w:r w:rsidR="00672F3C" w:rsidRPr="00214E8E">
        <w:rPr>
          <w:rFonts w:asciiTheme="majorHAnsi" w:eastAsia="Times New Roman" w:hAnsiTheme="majorHAnsi"/>
        </w:rPr>
        <w:t xml:space="preserve">an extremely </w:t>
      </w:r>
      <w:r w:rsidR="00C56257" w:rsidRPr="00214E8E">
        <w:rPr>
          <w:rFonts w:asciiTheme="majorHAnsi" w:eastAsia="Times New Roman" w:hAnsiTheme="majorHAnsi"/>
        </w:rPr>
        <w:t>widely disseminated collection of essays</w:t>
      </w:r>
      <w:r w:rsidR="00F31AEC" w:rsidRPr="00214E8E">
        <w:rPr>
          <w:rFonts w:asciiTheme="majorHAnsi" w:eastAsia="Times New Roman" w:hAnsiTheme="majorHAnsi"/>
        </w:rPr>
        <w:t xml:space="preserve"> under the title of</w:t>
      </w:r>
      <w:r w:rsidR="00C56257" w:rsidRPr="00214E8E">
        <w:rPr>
          <w:rFonts w:asciiTheme="majorHAnsi" w:eastAsia="Times New Roman" w:hAnsiTheme="majorHAnsi"/>
        </w:rPr>
        <w:t xml:space="preserve"> </w:t>
      </w:r>
      <w:r w:rsidR="00C56257" w:rsidRPr="00214E8E">
        <w:rPr>
          <w:rFonts w:asciiTheme="majorHAnsi" w:eastAsia="Times New Roman" w:hAnsiTheme="majorHAnsi"/>
          <w:i/>
        </w:rPr>
        <w:t>Thoughts on the War</w:t>
      </w:r>
      <w:r w:rsidR="00836733" w:rsidRPr="00214E8E">
        <w:rPr>
          <w:rFonts w:asciiTheme="majorHAnsi" w:eastAsia="Times New Roman" w:hAnsiTheme="majorHAnsi"/>
        </w:rPr>
        <w:t xml:space="preserve"> (</w:t>
      </w:r>
      <w:r w:rsidR="00F31AEC" w:rsidRPr="00214E8E">
        <w:rPr>
          <w:rFonts w:asciiTheme="majorHAnsi" w:eastAsia="Times New Roman" w:hAnsiTheme="majorHAnsi"/>
        </w:rPr>
        <w:t xml:space="preserve">1914-15), </w:t>
      </w:r>
      <w:r w:rsidR="00C56257" w:rsidRPr="00214E8E">
        <w:rPr>
          <w:rFonts w:asciiTheme="majorHAnsi" w:eastAsia="Times New Roman" w:hAnsiTheme="majorHAnsi"/>
          <w:i/>
        </w:rPr>
        <w:t>The Ultimate Belief</w:t>
      </w:r>
      <w:r w:rsidR="00C56257" w:rsidRPr="00214E8E">
        <w:rPr>
          <w:rFonts w:asciiTheme="majorHAnsi" w:eastAsia="Times New Roman" w:hAnsiTheme="majorHAnsi"/>
        </w:rPr>
        <w:t xml:space="preserve"> (1916), and several miscellaneous volumes of essays on art and literature</w:t>
      </w:r>
      <w:r w:rsidR="00672F3C" w:rsidRPr="00214E8E">
        <w:rPr>
          <w:rFonts w:asciiTheme="majorHAnsi" w:eastAsia="Times New Roman" w:hAnsiTheme="majorHAnsi"/>
        </w:rPr>
        <w:t xml:space="preserve"> that show him to have had broad interests and deep knowledge of the history of artistic currents</w:t>
      </w:r>
      <w:r w:rsidR="00C56257" w:rsidRPr="00214E8E">
        <w:rPr>
          <w:rFonts w:asciiTheme="majorHAnsi" w:eastAsia="Times New Roman" w:hAnsiTheme="majorHAnsi"/>
        </w:rPr>
        <w:t xml:space="preserve">. It is more than likely that Dyson would have known </w:t>
      </w:r>
      <w:r w:rsidR="00C56257" w:rsidRPr="00214E8E">
        <w:rPr>
          <w:rFonts w:asciiTheme="majorHAnsi" w:eastAsia="Times New Roman" w:hAnsiTheme="majorHAnsi"/>
          <w:i/>
        </w:rPr>
        <w:t>Thoughts on the War</w:t>
      </w:r>
      <w:r w:rsidR="00C56257" w:rsidRPr="00214E8E">
        <w:rPr>
          <w:rFonts w:asciiTheme="majorHAnsi" w:eastAsia="Times New Roman" w:hAnsiTheme="majorHAnsi"/>
        </w:rPr>
        <w:t>.</w:t>
      </w:r>
    </w:p>
    <w:p w:rsidR="00F21D72" w:rsidRPr="00214E8E" w:rsidRDefault="00C56257" w:rsidP="002B5EBF">
      <w:pPr>
        <w:spacing w:line="480" w:lineRule="auto"/>
        <w:ind w:firstLine="720"/>
        <w:rPr>
          <w:rFonts w:asciiTheme="majorHAnsi" w:eastAsia="Times New Roman" w:hAnsiTheme="majorHAnsi"/>
        </w:rPr>
      </w:pPr>
      <w:r w:rsidRPr="00214E8E">
        <w:rPr>
          <w:rFonts w:asciiTheme="majorHAnsi" w:eastAsia="Times New Roman" w:hAnsiTheme="majorHAnsi"/>
        </w:rPr>
        <w:t>Clutton-Brock</w:t>
      </w:r>
      <w:r w:rsidR="005B01B6" w:rsidRPr="00214E8E">
        <w:rPr>
          <w:rFonts w:asciiTheme="majorHAnsi" w:eastAsia="Times New Roman" w:hAnsiTheme="majorHAnsi"/>
        </w:rPr>
        <w:t>’</w:t>
      </w:r>
      <w:r w:rsidRPr="00214E8E">
        <w:rPr>
          <w:rFonts w:asciiTheme="majorHAnsi" w:eastAsia="Times New Roman" w:hAnsiTheme="majorHAnsi"/>
        </w:rPr>
        <w:t xml:space="preserve">s essay in </w:t>
      </w:r>
      <w:r w:rsidRPr="00214E8E">
        <w:rPr>
          <w:rFonts w:asciiTheme="majorHAnsi" w:eastAsia="Times New Roman" w:hAnsiTheme="majorHAnsi"/>
          <w:i/>
        </w:rPr>
        <w:t>Music and Letters</w:t>
      </w:r>
      <w:r w:rsidRPr="00214E8E">
        <w:rPr>
          <w:rFonts w:asciiTheme="majorHAnsi" w:eastAsia="Times New Roman" w:hAnsiTheme="majorHAnsi"/>
        </w:rPr>
        <w:t xml:space="preserve"> had the disarmingly simple catch-all title, </w:t>
      </w:r>
      <w:r w:rsidR="005B01B6" w:rsidRPr="00214E8E">
        <w:rPr>
          <w:rFonts w:asciiTheme="majorHAnsi" w:eastAsia="Times New Roman" w:hAnsiTheme="majorHAnsi"/>
        </w:rPr>
        <w:t>‘</w:t>
      </w:r>
      <w:r w:rsidRPr="00214E8E">
        <w:rPr>
          <w:rFonts w:asciiTheme="majorHAnsi" w:eastAsia="Times New Roman" w:hAnsiTheme="majorHAnsi"/>
        </w:rPr>
        <w:t>On Listening to Music</w:t>
      </w:r>
      <w:r w:rsidR="005B01B6" w:rsidRPr="00214E8E">
        <w:rPr>
          <w:rFonts w:asciiTheme="majorHAnsi" w:eastAsia="Times New Roman" w:hAnsiTheme="majorHAnsi"/>
        </w:rPr>
        <w:t>’</w:t>
      </w:r>
      <w:r w:rsidRPr="00214E8E">
        <w:rPr>
          <w:rFonts w:asciiTheme="majorHAnsi" w:eastAsia="Times New Roman" w:hAnsiTheme="majorHAnsi"/>
        </w:rPr>
        <w:t xml:space="preserve">. </w:t>
      </w:r>
      <w:r w:rsidR="00672F3C" w:rsidRPr="00214E8E">
        <w:rPr>
          <w:rFonts w:asciiTheme="majorHAnsi" w:eastAsia="Times New Roman" w:hAnsiTheme="majorHAnsi"/>
        </w:rPr>
        <w:t xml:space="preserve">While </w:t>
      </w:r>
      <w:r w:rsidR="0059283A" w:rsidRPr="00214E8E">
        <w:rPr>
          <w:rFonts w:asciiTheme="majorHAnsi" w:eastAsia="Times New Roman" w:hAnsiTheme="majorHAnsi"/>
        </w:rPr>
        <w:t>m</w:t>
      </w:r>
      <w:r w:rsidR="00FD23EC" w:rsidRPr="00214E8E">
        <w:rPr>
          <w:rFonts w:asciiTheme="majorHAnsi" w:eastAsia="Times New Roman" w:hAnsiTheme="majorHAnsi"/>
        </w:rPr>
        <w:t>uch of the essay</w:t>
      </w:r>
      <w:r w:rsidR="005B01B6" w:rsidRPr="00214E8E">
        <w:rPr>
          <w:rFonts w:asciiTheme="majorHAnsi" w:eastAsia="Times New Roman" w:hAnsiTheme="majorHAnsi"/>
        </w:rPr>
        <w:t>’</w:t>
      </w:r>
      <w:r w:rsidR="00FD23EC" w:rsidRPr="00214E8E">
        <w:rPr>
          <w:rFonts w:asciiTheme="majorHAnsi" w:eastAsia="Times New Roman" w:hAnsiTheme="majorHAnsi"/>
        </w:rPr>
        <w:t>s content has been long since superseded</w:t>
      </w:r>
      <w:r w:rsidR="0059283A" w:rsidRPr="00214E8E">
        <w:rPr>
          <w:rFonts w:asciiTheme="majorHAnsi" w:eastAsia="Times New Roman" w:hAnsiTheme="majorHAnsi"/>
        </w:rPr>
        <w:t xml:space="preserve"> by more sophisticated </w:t>
      </w:r>
      <w:r w:rsidR="00672F3C" w:rsidRPr="00214E8E">
        <w:rPr>
          <w:rFonts w:asciiTheme="majorHAnsi" w:eastAsia="Times New Roman" w:hAnsiTheme="majorHAnsi"/>
        </w:rPr>
        <w:t xml:space="preserve">empirically grounded </w:t>
      </w:r>
      <w:r w:rsidR="0059283A" w:rsidRPr="00214E8E">
        <w:rPr>
          <w:rFonts w:asciiTheme="majorHAnsi" w:eastAsia="Times New Roman" w:hAnsiTheme="majorHAnsi"/>
        </w:rPr>
        <w:t>theories</w:t>
      </w:r>
      <w:r w:rsidR="00672F3C" w:rsidRPr="00214E8E">
        <w:rPr>
          <w:rFonts w:asciiTheme="majorHAnsi" w:eastAsia="Times New Roman" w:hAnsiTheme="majorHAnsi"/>
        </w:rPr>
        <w:t xml:space="preserve"> in psychology and cognition, </w:t>
      </w:r>
      <w:r w:rsidR="00FD23EC" w:rsidRPr="00214E8E">
        <w:rPr>
          <w:rFonts w:asciiTheme="majorHAnsi" w:eastAsia="Times New Roman" w:hAnsiTheme="majorHAnsi"/>
        </w:rPr>
        <w:t xml:space="preserve">there </w:t>
      </w:r>
      <w:r w:rsidR="0059283A" w:rsidRPr="00214E8E">
        <w:rPr>
          <w:rFonts w:asciiTheme="majorHAnsi" w:eastAsia="Times New Roman" w:hAnsiTheme="majorHAnsi"/>
        </w:rPr>
        <w:t xml:space="preserve">remain </w:t>
      </w:r>
      <w:r w:rsidR="00FD23EC" w:rsidRPr="00214E8E">
        <w:rPr>
          <w:rFonts w:asciiTheme="majorHAnsi" w:eastAsia="Times New Roman" w:hAnsiTheme="majorHAnsi"/>
        </w:rPr>
        <w:t xml:space="preserve">some core points </w:t>
      </w:r>
      <w:r w:rsidR="007B11AB" w:rsidRPr="00214E8E">
        <w:rPr>
          <w:rFonts w:asciiTheme="majorHAnsi" w:eastAsia="Times New Roman" w:hAnsiTheme="majorHAnsi"/>
        </w:rPr>
        <w:t xml:space="preserve">and underlying attitudes of mind </w:t>
      </w:r>
      <w:r w:rsidR="00E60AC0" w:rsidRPr="00214E8E">
        <w:rPr>
          <w:rFonts w:asciiTheme="majorHAnsi" w:eastAsia="Times New Roman" w:hAnsiTheme="majorHAnsi"/>
        </w:rPr>
        <w:t>that are</w:t>
      </w:r>
      <w:r w:rsidR="0059283A" w:rsidRPr="00214E8E">
        <w:rPr>
          <w:rFonts w:asciiTheme="majorHAnsi" w:eastAsia="Times New Roman" w:hAnsiTheme="majorHAnsi"/>
        </w:rPr>
        <w:t xml:space="preserve"> </w:t>
      </w:r>
      <w:r w:rsidR="00FD23EC" w:rsidRPr="00214E8E">
        <w:rPr>
          <w:rFonts w:asciiTheme="majorHAnsi" w:eastAsia="Times New Roman" w:hAnsiTheme="majorHAnsi"/>
        </w:rPr>
        <w:lastRenderedPageBreak/>
        <w:t xml:space="preserve">worth </w:t>
      </w:r>
      <w:r w:rsidR="00E60AC0" w:rsidRPr="00214E8E">
        <w:rPr>
          <w:rFonts w:asciiTheme="majorHAnsi" w:eastAsia="Times New Roman" w:hAnsiTheme="majorHAnsi"/>
        </w:rPr>
        <w:t>pausing to emphasise</w:t>
      </w:r>
      <w:r w:rsidR="00FD23EC" w:rsidRPr="00214E8E">
        <w:rPr>
          <w:rFonts w:asciiTheme="majorHAnsi" w:eastAsia="Times New Roman" w:hAnsiTheme="majorHAnsi"/>
        </w:rPr>
        <w:t xml:space="preserve">. </w:t>
      </w:r>
      <w:r w:rsidRPr="00214E8E">
        <w:rPr>
          <w:rFonts w:asciiTheme="majorHAnsi" w:eastAsia="Times New Roman" w:hAnsiTheme="majorHAnsi"/>
        </w:rPr>
        <w:t>The essay sets out a common-sense approach to listening grounded</w:t>
      </w:r>
      <w:r w:rsidR="00E60AC0" w:rsidRPr="00214E8E">
        <w:rPr>
          <w:rFonts w:asciiTheme="majorHAnsi" w:eastAsia="Times New Roman" w:hAnsiTheme="majorHAnsi"/>
        </w:rPr>
        <w:t xml:space="preserve"> in a Christian metaphysics, and</w:t>
      </w:r>
      <w:r w:rsidRPr="00214E8E">
        <w:rPr>
          <w:rFonts w:asciiTheme="majorHAnsi" w:eastAsia="Times New Roman" w:hAnsiTheme="majorHAnsi"/>
        </w:rPr>
        <w:t xml:space="preserve"> written in a clear, easily readable prose (C. S. Lewis and many others</w:t>
      </w:r>
      <w:r w:rsidR="0059283A" w:rsidRPr="00214E8E">
        <w:rPr>
          <w:rFonts w:asciiTheme="majorHAnsi" w:eastAsia="Times New Roman" w:hAnsiTheme="majorHAnsi"/>
        </w:rPr>
        <w:t xml:space="preserve"> </w:t>
      </w:r>
      <w:r w:rsidR="00F21D72" w:rsidRPr="00214E8E">
        <w:rPr>
          <w:rFonts w:asciiTheme="majorHAnsi" w:eastAsia="Times New Roman" w:hAnsiTheme="majorHAnsi"/>
        </w:rPr>
        <w:t xml:space="preserve">readily </w:t>
      </w:r>
      <w:r w:rsidR="0059283A" w:rsidRPr="00214E8E">
        <w:rPr>
          <w:rFonts w:asciiTheme="majorHAnsi" w:eastAsia="Times New Roman" w:hAnsiTheme="majorHAnsi"/>
        </w:rPr>
        <w:t>acknowledged the influence of Clutton-Brock’s writing style</w:t>
      </w:r>
      <w:r w:rsidR="00F21D72" w:rsidRPr="00214E8E">
        <w:rPr>
          <w:rFonts w:asciiTheme="majorHAnsi" w:eastAsia="Times New Roman" w:hAnsiTheme="majorHAnsi"/>
        </w:rPr>
        <w:t xml:space="preserve"> on their approach to writerly communication</w:t>
      </w:r>
      <w:r w:rsidRPr="00214E8E">
        <w:rPr>
          <w:rFonts w:asciiTheme="majorHAnsi" w:eastAsia="Times New Roman" w:hAnsiTheme="majorHAnsi"/>
        </w:rPr>
        <w:t>).</w:t>
      </w:r>
      <w:r w:rsidR="0059283A" w:rsidRPr="00214E8E">
        <w:rPr>
          <w:rStyle w:val="EndnoteReference"/>
          <w:rFonts w:asciiTheme="majorHAnsi" w:eastAsia="Times New Roman" w:hAnsiTheme="majorHAnsi"/>
        </w:rPr>
        <w:endnoteReference w:id="26"/>
      </w:r>
      <w:r w:rsidRPr="00214E8E">
        <w:rPr>
          <w:rFonts w:asciiTheme="majorHAnsi" w:eastAsia="Times New Roman" w:hAnsiTheme="majorHAnsi"/>
        </w:rPr>
        <w:t xml:space="preserve"> The essay can be interpreted as a manifesto for what the </w:t>
      </w:r>
      <w:r w:rsidR="00C25722" w:rsidRPr="00214E8E">
        <w:rPr>
          <w:rFonts w:asciiTheme="majorHAnsi" w:eastAsia="Times New Roman" w:hAnsiTheme="majorHAnsi"/>
        </w:rPr>
        <w:t xml:space="preserve">fledging </w:t>
      </w:r>
      <w:r w:rsidR="0059283A" w:rsidRPr="00214E8E">
        <w:rPr>
          <w:rFonts w:asciiTheme="majorHAnsi" w:eastAsia="Times New Roman" w:hAnsiTheme="majorHAnsi"/>
        </w:rPr>
        <w:t>magazine</w:t>
      </w:r>
      <w:r w:rsidRPr="00214E8E">
        <w:rPr>
          <w:rFonts w:asciiTheme="majorHAnsi" w:eastAsia="Times New Roman" w:hAnsiTheme="majorHAnsi"/>
        </w:rPr>
        <w:t xml:space="preserve"> was setting out to accomplish in </w:t>
      </w:r>
      <w:r w:rsidR="00F21D72" w:rsidRPr="00214E8E">
        <w:rPr>
          <w:rFonts w:asciiTheme="majorHAnsi" w:eastAsia="Times New Roman" w:hAnsiTheme="majorHAnsi"/>
        </w:rPr>
        <w:t xml:space="preserve">the </w:t>
      </w:r>
      <w:r w:rsidR="00546141">
        <w:rPr>
          <w:rFonts w:asciiTheme="majorHAnsi" w:eastAsia="Times New Roman" w:hAnsiTheme="majorHAnsi"/>
        </w:rPr>
        <w:t xml:space="preserve">lives </w:t>
      </w:r>
      <w:r w:rsidR="00F21D72" w:rsidRPr="00214E8E">
        <w:rPr>
          <w:rFonts w:asciiTheme="majorHAnsi" w:eastAsia="Times New Roman" w:hAnsiTheme="majorHAnsi"/>
        </w:rPr>
        <w:t>of</w:t>
      </w:r>
      <w:r w:rsidRPr="00214E8E">
        <w:rPr>
          <w:rFonts w:asciiTheme="majorHAnsi" w:eastAsia="Times New Roman" w:hAnsiTheme="majorHAnsi"/>
        </w:rPr>
        <w:t xml:space="preserve"> its readers: </w:t>
      </w:r>
      <w:r w:rsidR="00113625" w:rsidRPr="00214E8E">
        <w:rPr>
          <w:rFonts w:asciiTheme="majorHAnsi" w:eastAsia="Times New Roman" w:hAnsiTheme="majorHAnsi"/>
        </w:rPr>
        <w:t>to enlighten them about important musical matters and to aid in the formation of their critical capacities</w:t>
      </w:r>
      <w:r w:rsidR="00EC37A2" w:rsidRPr="00214E8E">
        <w:rPr>
          <w:rFonts w:asciiTheme="majorHAnsi" w:hAnsiTheme="majorHAnsi"/>
        </w:rPr>
        <w:t xml:space="preserve">, and to do so through, as the first Editorial put it, a </w:t>
      </w:r>
      <w:r w:rsidR="005B01B6" w:rsidRPr="00214E8E">
        <w:rPr>
          <w:rFonts w:asciiTheme="majorHAnsi" w:hAnsiTheme="majorHAnsi"/>
        </w:rPr>
        <w:t>“</w:t>
      </w:r>
      <w:r w:rsidR="0081685B" w:rsidRPr="00214E8E">
        <w:rPr>
          <w:rFonts w:asciiTheme="majorHAnsi" w:hAnsiTheme="majorHAnsi"/>
        </w:rPr>
        <w:t xml:space="preserve">real </w:t>
      </w:r>
      <w:proofErr w:type="spellStart"/>
      <w:r w:rsidR="0081685B" w:rsidRPr="00214E8E">
        <w:rPr>
          <w:rFonts w:asciiTheme="majorHAnsi" w:hAnsiTheme="majorHAnsi"/>
          <w:i/>
        </w:rPr>
        <w:t>commercium</w:t>
      </w:r>
      <w:proofErr w:type="spellEnd"/>
      <w:r w:rsidR="0081685B" w:rsidRPr="00214E8E">
        <w:rPr>
          <w:rFonts w:asciiTheme="majorHAnsi" w:hAnsiTheme="majorHAnsi"/>
          <w:i/>
        </w:rPr>
        <w:t xml:space="preserve"> mentis et </w:t>
      </w:r>
      <w:proofErr w:type="spellStart"/>
      <w:r w:rsidR="0081685B" w:rsidRPr="00214E8E">
        <w:rPr>
          <w:rFonts w:asciiTheme="majorHAnsi" w:hAnsiTheme="majorHAnsi"/>
          <w:i/>
        </w:rPr>
        <w:t>rerum</w:t>
      </w:r>
      <w:proofErr w:type="spellEnd"/>
      <w:r w:rsidR="00EC37A2" w:rsidRPr="00214E8E">
        <w:rPr>
          <w:rFonts w:asciiTheme="majorHAnsi" w:hAnsiTheme="majorHAnsi"/>
        </w:rPr>
        <w:t xml:space="preserve"> – </w:t>
      </w:r>
      <w:r w:rsidR="0081685B" w:rsidRPr="00214E8E">
        <w:rPr>
          <w:rFonts w:asciiTheme="majorHAnsi" w:hAnsiTheme="majorHAnsi"/>
        </w:rPr>
        <w:t>an exchange of pertinent thought</w:t>
      </w:r>
      <w:r w:rsidR="005B01B6" w:rsidRPr="00214E8E">
        <w:rPr>
          <w:rFonts w:asciiTheme="majorHAnsi" w:hAnsiTheme="majorHAnsi"/>
        </w:rPr>
        <w:t>”</w:t>
      </w:r>
      <w:r w:rsidR="00EC37A2" w:rsidRPr="00214E8E">
        <w:rPr>
          <w:rFonts w:asciiTheme="majorHAnsi" w:hAnsiTheme="majorHAnsi"/>
        </w:rPr>
        <w:t>.</w:t>
      </w:r>
      <w:r w:rsidR="00EC37A2" w:rsidRPr="00214E8E">
        <w:rPr>
          <w:rStyle w:val="EndnoteReference"/>
          <w:rFonts w:asciiTheme="majorHAnsi" w:hAnsiTheme="majorHAnsi"/>
        </w:rPr>
        <w:endnoteReference w:id="27"/>
      </w:r>
    </w:p>
    <w:p w:rsidR="003D12D2" w:rsidRPr="00214E8E" w:rsidRDefault="00FD23EC" w:rsidP="00303A15">
      <w:pPr>
        <w:spacing w:line="480" w:lineRule="auto"/>
        <w:ind w:firstLine="720"/>
        <w:rPr>
          <w:rFonts w:asciiTheme="majorHAnsi" w:eastAsia="Times New Roman" w:hAnsiTheme="majorHAnsi"/>
        </w:rPr>
      </w:pPr>
      <w:r w:rsidRPr="00214E8E">
        <w:rPr>
          <w:rFonts w:asciiTheme="majorHAnsi" w:eastAsia="Times New Roman" w:hAnsiTheme="majorHAnsi"/>
        </w:rPr>
        <w:t xml:space="preserve">Clutton-Brock </w:t>
      </w:r>
      <w:r w:rsidR="00C25722" w:rsidRPr="00214E8E">
        <w:rPr>
          <w:rFonts w:asciiTheme="majorHAnsi" w:eastAsia="Times New Roman" w:hAnsiTheme="majorHAnsi"/>
        </w:rPr>
        <w:t>begins his essay</w:t>
      </w:r>
      <w:r w:rsidR="005F23AB" w:rsidRPr="00214E8E">
        <w:rPr>
          <w:rFonts w:asciiTheme="majorHAnsi" w:eastAsia="Times New Roman" w:hAnsiTheme="majorHAnsi"/>
        </w:rPr>
        <w:t xml:space="preserve"> </w:t>
      </w:r>
      <w:r w:rsidRPr="00214E8E">
        <w:rPr>
          <w:rFonts w:asciiTheme="majorHAnsi" w:eastAsia="Times New Roman" w:hAnsiTheme="majorHAnsi"/>
        </w:rPr>
        <w:t xml:space="preserve">with the seemingly innocent – though in fact quite provocative – remarks that </w:t>
      </w:r>
      <w:r w:rsidR="005B01B6" w:rsidRPr="00214E8E">
        <w:rPr>
          <w:rFonts w:asciiTheme="majorHAnsi" w:eastAsia="Times New Roman" w:hAnsiTheme="majorHAnsi"/>
        </w:rPr>
        <w:t>“</w:t>
      </w:r>
      <w:r w:rsidRPr="00214E8E">
        <w:rPr>
          <w:rFonts w:asciiTheme="majorHAnsi" w:eastAsia="Times New Roman" w:hAnsiTheme="majorHAnsi"/>
        </w:rPr>
        <w:t>no one could have less technical knowledge of music than I have and yet enjoy it</w:t>
      </w:r>
      <w:r w:rsidR="005B01B6" w:rsidRPr="00214E8E">
        <w:rPr>
          <w:rFonts w:asciiTheme="majorHAnsi" w:eastAsia="Times New Roman" w:hAnsiTheme="majorHAnsi"/>
        </w:rPr>
        <w:t>”</w:t>
      </w:r>
      <w:r w:rsidR="00F21D72" w:rsidRPr="00214E8E">
        <w:rPr>
          <w:rFonts w:asciiTheme="majorHAnsi" w:eastAsia="Times New Roman" w:hAnsiTheme="majorHAnsi"/>
        </w:rPr>
        <w:t>,</w:t>
      </w:r>
      <w:r w:rsidRPr="00214E8E">
        <w:rPr>
          <w:rFonts w:asciiTheme="majorHAnsi" w:eastAsia="Times New Roman" w:hAnsiTheme="majorHAnsi"/>
        </w:rPr>
        <w:t xml:space="preserve"> and that </w:t>
      </w:r>
      <w:r w:rsidR="005B01B6" w:rsidRPr="00214E8E">
        <w:rPr>
          <w:rFonts w:asciiTheme="majorHAnsi" w:eastAsia="Times New Roman" w:hAnsiTheme="majorHAnsi"/>
        </w:rPr>
        <w:t>“</w:t>
      </w:r>
      <w:r w:rsidRPr="00214E8E">
        <w:rPr>
          <w:rFonts w:asciiTheme="majorHAnsi" w:eastAsia="Times New Roman" w:hAnsiTheme="majorHAnsi"/>
        </w:rPr>
        <w:t>what I enjoy is the music itself and not ideas about it</w:t>
      </w:r>
      <w:r w:rsidR="005B01B6" w:rsidRPr="00214E8E">
        <w:rPr>
          <w:rFonts w:asciiTheme="majorHAnsi" w:eastAsia="Times New Roman" w:hAnsiTheme="majorHAnsi"/>
        </w:rPr>
        <w:t>”</w:t>
      </w:r>
      <w:r w:rsidR="00F21D72" w:rsidRPr="00214E8E">
        <w:rPr>
          <w:rFonts w:asciiTheme="majorHAnsi" w:eastAsia="Times New Roman" w:hAnsiTheme="majorHAnsi"/>
        </w:rPr>
        <w:t>.</w:t>
      </w:r>
      <w:r w:rsidR="004C5F13" w:rsidRPr="00214E8E">
        <w:rPr>
          <w:rStyle w:val="EndnoteReference"/>
          <w:rFonts w:asciiTheme="majorHAnsi" w:eastAsia="Times New Roman" w:hAnsiTheme="majorHAnsi"/>
        </w:rPr>
        <w:endnoteReference w:id="28"/>
      </w:r>
      <w:r w:rsidR="005F23AB" w:rsidRPr="00214E8E">
        <w:rPr>
          <w:rFonts w:asciiTheme="majorHAnsi" w:eastAsia="Times New Roman" w:hAnsiTheme="majorHAnsi"/>
        </w:rPr>
        <w:t xml:space="preserve"> Later on he advocates listening and “enjoy[ing] music without such principles</w:t>
      </w:r>
      <w:r w:rsidR="00303A15" w:rsidRPr="00214E8E">
        <w:rPr>
          <w:rFonts w:asciiTheme="majorHAnsi" w:eastAsia="Times New Roman" w:hAnsiTheme="majorHAnsi"/>
        </w:rPr>
        <w:t>”.</w:t>
      </w:r>
      <w:r w:rsidR="005F23AB" w:rsidRPr="00214E8E">
        <w:rPr>
          <w:rStyle w:val="EndnoteReference"/>
          <w:rFonts w:asciiTheme="majorHAnsi" w:eastAsia="Times New Roman" w:hAnsiTheme="majorHAnsi"/>
        </w:rPr>
        <w:endnoteReference w:id="29"/>
      </w:r>
      <w:r w:rsidR="005F23AB" w:rsidRPr="00214E8E">
        <w:rPr>
          <w:rFonts w:asciiTheme="majorHAnsi" w:eastAsia="Times New Roman" w:hAnsiTheme="majorHAnsi"/>
        </w:rPr>
        <w:t xml:space="preserve"> </w:t>
      </w:r>
      <w:r w:rsidR="00303A15" w:rsidRPr="00214E8E">
        <w:rPr>
          <w:rFonts w:asciiTheme="majorHAnsi" w:eastAsia="Times New Roman" w:hAnsiTheme="majorHAnsi"/>
        </w:rPr>
        <w:t xml:space="preserve">His approach synthesises </w:t>
      </w:r>
      <w:r w:rsidR="005F23AB" w:rsidRPr="00214E8E">
        <w:rPr>
          <w:rFonts w:asciiTheme="majorHAnsi" w:eastAsia="Times New Roman" w:hAnsiTheme="majorHAnsi"/>
        </w:rPr>
        <w:t>the classical Kantian terms for aesthetic judgement</w:t>
      </w:r>
      <w:r w:rsidR="00303A15" w:rsidRPr="00214E8E">
        <w:rPr>
          <w:rFonts w:asciiTheme="majorHAnsi" w:eastAsia="Times New Roman" w:hAnsiTheme="majorHAnsi"/>
        </w:rPr>
        <w:t xml:space="preserve"> with the aesthetics of Benedetto Croce.</w:t>
      </w:r>
      <w:r w:rsidR="00303A15" w:rsidRPr="00214E8E">
        <w:rPr>
          <w:rStyle w:val="EndnoteReference"/>
          <w:rFonts w:asciiTheme="majorHAnsi" w:eastAsia="Times New Roman" w:hAnsiTheme="majorHAnsi"/>
        </w:rPr>
        <w:endnoteReference w:id="30"/>
      </w:r>
      <w:r w:rsidR="00303A15" w:rsidRPr="00214E8E">
        <w:rPr>
          <w:rFonts w:asciiTheme="majorHAnsi" w:eastAsia="Times New Roman" w:hAnsiTheme="majorHAnsi"/>
        </w:rPr>
        <w:t xml:space="preserve"> A recurrent motif of Clutton-Brock’s work is his focus </w:t>
      </w:r>
      <w:r w:rsidR="00B76BC5" w:rsidRPr="00214E8E">
        <w:rPr>
          <w:rFonts w:asciiTheme="majorHAnsi" w:eastAsia="Times New Roman" w:hAnsiTheme="majorHAnsi"/>
        </w:rPr>
        <w:t>on the proper “enjoyment” of art (in this case music): what it should mean to enjoy music</w:t>
      </w:r>
      <w:r w:rsidR="003D12D2" w:rsidRPr="00214E8E">
        <w:rPr>
          <w:rFonts w:asciiTheme="majorHAnsi" w:eastAsia="Times New Roman" w:hAnsiTheme="majorHAnsi"/>
        </w:rPr>
        <w:t>;</w:t>
      </w:r>
      <w:r w:rsidR="00B76BC5" w:rsidRPr="00214E8E">
        <w:rPr>
          <w:rFonts w:asciiTheme="majorHAnsi" w:eastAsia="Times New Roman" w:hAnsiTheme="majorHAnsi"/>
        </w:rPr>
        <w:t xml:space="preserve"> how music should be enjoyed</w:t>
      </w:r>
      <w:r w:rsidR="003D12D2" w:rsidRPr="00214E8E">
        <w:rPr>
          <w:rFonts w:asciiTheme="majorHAnsi" w:eastAsia="Times New Roman" w:hAnsiTheme="majorHAnsi"/>
        </w:rPr>
        <w:t>;</w:t>
      </w:r>
      <w:r w:rsidR="00B76BC5" w:rsidRPr="00214E8E">
        <w:rPr>
          <w:rFonts w:asciiTheme="majorHAnsi" w:eastAsia="Times New Roman" w:hAnsiTheme="majorHAnsi"/>
        </w:rPr>
        <w:t xml:space="preserve"> and what music should mean when it is enjoyed properly. The term </w:t>
      </w:r>
      <w:r w:rsidR="003D12D2" w:rsidRPr="00214E8E">
        <w:rPr>
          <w:rFonts w:asciiTheme="majorHAnsi" w:eastAsia="Times New Roman" w:hAnsiTheme="majorHAnsi"/>
        </w:rPr>
        <w:t xml:space="preserve">itself </w:t>
      </w:r>
      <w:r w:rsidR="00B76BC5" w:rsidRPr="00214E8E">
        <w:rPr>
          <w:rFonts w:asciiTheme="majorHAnsi" w:eastAsia="Times New Roman" w:hAnsiTheme="majorHAnsi"/>
        </w:rPr>
        <w:t>appears thirty-nine times in the essay’s six-and-a-half pages</w:t>
      </w:r>
      <w:r w:rsidR="003D12D2" w:rsidRPr="00214E8E">
        <w:rPr>
          <w:rFonts w:asciiTheme="majorHAnsi" w:eastAsia="Times New Roman" w:hAnsiTheme="majorHAnsi"/>
        </w:rPr>
        <w:t>, and is used</w:t>
      </w:r>
      <w:r w:rsidR="00B76BC5" w:rsidRPr="00214E8E">
        <w:rPr>
          <w:rFonts w:asciiTheme="majorHAnsi" w:eastAsia="Times New Roman" w:hAnsiTheme="majorHAnsi"/>
        </w:rPr>
        <w:t xml:space="preserve"> in ways that strongly suggest </w:t>
      </w:r>
      <w:r w:rsidR="003D12D2" w:rsidRPr="00214E8E">
        <w:rPr>
          <w:rFonts w:asciiTheme="majorHAnsi" w:eastAsia="Times New Roman" w:hAnsiTheme="majorHAnsi"/>
        </w:rPr>
        <w:t xml:space="preserve">that its function is that of </w:t>
      </w:r>
      <w:r w:rsidR="00B76BC5" w:rsidRPr="00214E8E">
        <w:rPr>
          <w:rFonts w:asciiTheme="majorHAnsi" w:eastAsia="Times New Roman" w:hAnsiTheme="majorHAnsi"/>
        </w:rPr>
        <w:t>a surrogate for the titular term “listening”: to listen properly to music is to enjoy it.</w:t>
      </w:r>
      <w:r w:rsidR="005F23AB" w:rsidRPr="00214E8E">
        <w:rPr>
          <w:rFonts w:asciiTheme="majorHAnsi" w:eastAsia="Times New Roman" w:hAnsiTheme="majorHAnsi"/>
        </w:rPr>
        <w:t xml:space="preserve"> T</w:t>
      </w:r>
      <w:r w:rsidR="003D12D2" w:rsidRPr="00214E8E">
        <w:rPr>
          <w:rFonts w:asciiTheme="majorHAnsi" w:eastAsia="Times New Roman" w:hAnsiTheme="majorHAnsi"/>
        </w:rPr>
        <w:t xml:space="preserve">here is also a modernist resonance to </w:t>
      </w:r>
      <w:r w:rsidR="005F23AB" w:rsidRPr="00214E8E">
        <w:rPr>
          <w:rFonts w:asciiTheme="majorHAnsi" w:eastAsia="Times New Roman" w:hAnsiTheme="majorHAnsi"/>
        </w:rPr>
        <w:t>the</w:t>
      </w:r>
      <w:r w:rsidR="003D12D2" w:rsidRPr="00214E8E">
        <w:rPr>
          <w:rFonts w:asciiTheme="majorHAnsi" w:eastAsia="Times New Roman" w:hAnsiTheme="majorHAnsi"/>
        </w:rPr>
        <w:t xml:space="preserve"> aesthetic ideology underpinning Clutton-Brock’s </w:t>
      </w:r>
      <w:r w:rsidR="005F23AB" w:rsidRPr="00214E8E">
        <w:rPr>
          <w:rFonts w:asciiTheme="majorHAnsi" w:eastAsia="Times New Roman" w:hAnsiTheme="majorHAnsi"/>
        </w:rPr>
        <w:t xml:space="preserve">opening remarks about enjoying “music itself and not ideas about it”, perhaps bringing a certain kind of Stravinskyian formalism to mind; but </w:t>
      </w:r>
      <w:r w:rsidR="003D12D2" w:rsidRPr="00214E8E">
        <w:rPr>
          <w:rFonts w:asciiTheme="majorHAnsi" w:eastAsia="Times New Roman" w:hAnsiTheme="majorHAnsi"/>
        </w:rPr>
        <w:t xml:space="preserve">I will </w:t>
      </w:r>
      <w:r w:rsidR="005F23AB" w:rsidRPr="00214E8E">
        <w:rPr>
          <w:rFonts w:asciiTheme="majorHAnsi" w:eastAsia="Times New Roman" w:hAnsiTheme="majorHAnsi"/>
        </w:rPr>
        <w:t xml:space="preserve">bracket </w:t>
      </w:r>
      <w:r w:rsidR="003D12D2" w:rsidRPr="00214E8E">
        <w:rPr>
          <w:rFonts w:asciiTheme="majorHAnsi" w:eastAsia="Times New Roman" w:hAnsiTheme="majorHAnsi"/>
        </w:rPr>
        <w:t xml:space="preserve">this </w:t>
      </w:r>
      <w:r w:rsidR="005F23AB" w:rsidRPr="00214E8E">
        <w:rPr>
          <w:rFonts w:asciiTheme="majorHAnsi" w:eastAsia="Times New Roman" w:hAnsiTheme="majorHAnsi"/>
        </w:rPr>
        <w:t xml:space="preserve">issue </w:t>
      </w:r>
      <w:r w:rsidR="003D12D2" w:rsidRPr="00214E8E">
        <w:rPr>
          <w:rFonts w:asciiTheme="majorHAnsi" w:eastAsia="Times New Roman" w:hAnsiTheme="majorHAnsi"/>
        </w:rPr>
        <w:t>here.</w:t>
      </w:r>
    </w:p>
    <w:p w:rsidR="00C56257" w:rsidRPr="00214E8E" w:rsidRDefault="00F21D72" w:rsidP="002B5EBF">
      <w:pPr>
        <w:spacing w:line="480" w:lineRule="auto"/>
        <w:ind w:firstLine="720"/>
        <w:rPr>
          <w:rFonts w:asciiTheme="majorHAnsi" w:eastAsia="Times New Roman" w:hAnsiTheme="majorHAnsi"/>
        </w:rPr>
      </w:pPr>
      <w:r w:rsidRPr="00214E8E">
        <w:rPr>
          <w:rFonts w:asciiTheme="majorHAnsi" w:eastAsia="Times New Roman" w:hAnsiTheme="majorHAnsi"/>
        </w:rPr>
        <w:t>Clutton-Brock’s deliberately clear-sighted and non-condescending claim</w:t>
      </w:r>
      <w:r w:rsidR="005F23AB" w:rsidRPr="00214E8E">
        <w:rPr>
          <w:rFonts w:asciiTheme="majorHAnsi" w:eastAsia="Times New Roman" w:hAnsiTheme="majorHAnsi"/>
        </w:rPr>
        <w:t>s</w:t>
      </w:r>
      <w:r w:rsidRPr="00214E8E">
        <w:rPr>
          <w:rFonts w:asciiTheme="majorHAnsi" w:eastAsia="Times New Roman" w:hAnsiTheme="majorHAnsi"/>
        </w:rPr>
        <w:t xml:space="preserve"> </w:t>
      </w:r>
      <w:r w:rsidR="005F23AB" w:rsidRPr="00214E8E">
        <w:rPr>
          <w:rFonts w:asciiTheme="majorHAnsi" w:eastAsia="Times New Roman" w:hAnsiTheme="majorHAnsi"/>
        </w:rPr>
        <w:t>about “enjoyment” and listening “without principles” resonate</w:t>
      </w:r>
      <w:r w:rsidR="004562D9" w:rsidRPr="00214E8E">
        <w:rPr>
          <w:rFonts w:asciiTheme="majorHAnsi" w:eastAsia="Times New Roman" w:hAnsiTheme="majorHAnsi"/>
        </w:rPr>
        <w:t xml:space="preserve"> with Heseltine</w:t>
      </w:r>
      <w:r w:rsidR="005B01B6" w:rsidRPr="00214E8E">
        <w:rPr>
          <w:rFonts w:asciiTheme="majorHAnsi" w:eastAsia="Times New Roman" w:hAnsiTheme="majorHAnsi"/>
        </w:rPr>
        <w:t>’</w:t>
      </w:r>
      <w:r w:rsidR="004562D9" w:rsidRPr="00214E8E">
        <w:rPr>
          <w:rFonts w:asciiTheme="majorHAnsi" w:eastAsia="Times New Roman" w:hAnsiTheme="majorHAnsi"/>
        </w:rPr>
        <w:t>s</w:t>
      </w:r>
      <w:r w:rsidR="0081685B" w:rsidRPr="00214E8E">
        <w:rPr>
          <w:rFonts w:asciiTheme="majorHAnsi" w:eastAsia="Times New Roman" w:hAnsiTheme="majorHAnsi"/>
        </w:rPr>
        <w:t xml:space="preserve"> polemical</w:t>
      </w:r>
      <w:r w:rsidR="004562D9" w:rsidRPr="00214E8E">
        <w:rPr>
          <w:rFonts w:asciiTheme="majorHAnsi" w:eastAsia="Times New Roman" w:hAnsiTheme="majorHAnsi"/>
        </w:rPr>
        <w:t xml:space="preserve"> foreword to the first issue of </w:t>
      </w:r>
      <w:r w:rsidR="004562D9" w:rsidRPr="00214E8E">
        <w:rPr>
          <w:rFonts w:asciiTheme="majorHAnsi" w:eastAsia="Times New Roman" w:hAnsiTheme="majorHAnsi"/>
          <w:i/>
        </w:rPr>
        <w:t>The Sackbut</w:t>
      </w:r>
      <w:r w:rsidRPr="00214E8E">
        <w:rPr>
          <w:rFonts w:asciiTheme="majorHAnsi" w:eastAsia="Times New Roman" w:hAnsiTheme="majorHAnsi"/>
        </w:rPr>
        <w:t xml:space="preserve"> (issued later </w:t>
      </w:r>
      <w:r w:rsidR="00303A15" w:rsidRPr="00214E8E">
        <w:rPr>
          <w:rFonts w:asciiTheme="majorHAnsi" w:eastAsia="Times New Roman" w:hAnsiTheme="majorHAnsi"/>
        </w:rPr>
        <w:t xml:space="preserve">in </w:t>
      </w:r>
      <w:r w:rsidRPr="00214E8E">
        <w:rPr>
          <w:rFonts w:asciiTheme="majorHAnsi" w:eastAsia="Times New Roman" w:hAnsiTheme="majorHAnsi"/>
        </w:rPr>
        <w:t>the same year)</w:t>
      </w:r>
      <w:r w:rsidR="004C5F13" w:rsidRPr="00214E8E">
        <w:rPr>
          <w:rFonts w:asciiTheme="majorHAnsi" w:eastAsia="Times New Roman" w:hAnsiTheme="majorHAnsi"/>
        </w:rPr>
        <w:t xml:space="preserve">, which </w:t>
      </w:r>
      <w:r w:rsidR="004C5F13" w:rsidRPr="00214E8E">
        <w:rPr>
          <w:rFonts w:asciiTheme="majorHAnsi" w:eastAsia="Times New Roman" w:hAnsiTheme="majorHAnsi"/>
        </w:rPr>
        <w:lastRenderedPageBreak/>
        <w:t>positioned that new publication</w:t>
      </w:r>
      <w:r w:rsidR="004562D9" w:rsidRPr="00214E8E">
        <w:rPr>
          <w:rFonts w:asciiTheme="majorHAnsi" w:eastAsia="Times New Roman" w:hAnsiTheme="majorHAnsi"/>
        </w:rPr>
        <w:t xml:space="preserve"> as </w:t>
      </w:r>
      <w:r w:rsidR="005B01B6" w:rsidRPr="00214E8E">
        <w:rPr>
          <w:rFonts w:asciiTheme="majorHAnsi" w:eastAsia="Times New Roman" w:hAnsiTheme="majorHAnsi"/>
        </w:rPr>
        <w:t>“</w:t>
      </w:r>
      <w:r w:rsidR="004562D9" w:rsidRPr="00214E8E">
        <w:rPr>
          <w:rFonts w:asciiTheme="majorHAnsi" w:eastAsia="Times New Roman" w:hAnsiTheme="majorHAnsi"/>
        </w:rPr>
        <w:t>a new musical journal in whose pages composers, critics, and plain men-in-the-street can meet on equal terms.</w:t>
      </w:r>
      <w:r w:rsidR="005B01B6" w:rsidRPr="00214E8E">
        <w:rPr>
          <w:rFonts w:asciiTheme="majorHAnsi" w:eastAsia="Times New Roman" w:hAnsiTheme="majorHAnsi"/>
        </w:rPr>
        <w:t>”</w:t>
      </w:r>
      <w:r w:rsidR="004562D9" w:rsidRPr="00214E8E">
        <w:rPr>
          <w:rStyle w:val="EndnoteReference"/>
          <w:rFonts w:asciiTheme="majorHAnsi" w:eastAsia="Times New Roman" w:hAnsiTheme="majorHAnsi"/>
        </w:rPr>
        <w:endnoteReference w:id="31"/>
      </w:r>
      <w:r w:rsidR="00FD23EC" w:rsidRPr="00214E8E">
        <w:rPr>
          <w:rFonts w:asciiTheme="majorHAnsi" w:eastAsia="Times New Roman" w:hAnsiTheme="majorHAnsi"/>
        </w:rPr>
        <w:t xml:space="preserve"> </w:t>
      </w:r>
      <w:r w:rsidR="004562D9" w:rsidRPr="00214E8E">
        <w:rPr>
          <w:rFonts w:asciiTheme="majorHAnsi" w:eastAsia="Times New Roman" w:hAnsiTheme="majorHAnsi"/>
        </w:rPr>
        <w:t>Clutton-Brock</w:t>
      </w:r>
      <w:r w:rsidR="005B01B6" w:rsidRPr="00214E8E">
        <w:rPr>
          <w:rFonts w:asciiTheme="majorHAnsi" w:eastAsia="Times New Roman" w:hAnsiTheme="majorHAnsi"/>
        </w:rPr>
        <w:t>’</w:t>
      </w:r>
      <w:r w:rsidR="004562D9" w:rsidRPr="00214E8E">
        <w:rPr>
          <w:rFonts w:asciiTheme="majorHAnsi" w:eastAsia="Times New Roman" w:hAnsiTheme="majorHAnsi"/>
        </w:rPr>
        <w:t xml:space="preserve">s </w:t>
      </w:r>
      <w:r w:rsidR="00C25722" w:rsidRPr="00214E8E">
        <w:rPr>
          <w:rFonts w:asciiTheme="majorHAnsi" w:eastAsia="Times New Roman" w:hAnsiTheme="majorHAnsi"/>
        </w:rPr>
        <w:t>claim</w:t>
      </w:r>
      <w:r w:rsidR="00FD23EC" w:rsidRPr="00214E8E">
        <w:rPr>
          <w:rFonts w:asciiTheme="majorHAnsi" w:eastAsia="Times New Roman" w:hAnsiTheme="majorHAnsi"/>
        </w:rPr>
        <w:t xml:space="preserve"> </w:t>
      </w:r>
      <w:r w:rsidR="004C5F13" w:rsidRPr="00214E8E">
        <w:rPr>
          <w:rFonts w:asciiTheme="majorHAnsi" w:eastAsia="Times New Roman" w:hAnsiTheme="majorHAnsi"/>
        </w:rPr>
        <w:t xml:space="preserve">in </w:t>
      </w:r>
      <w:r w:rsidR="004C5F13" w:rsidRPr="00214E8E">
        <w:rPr>
          <w:rFonts w:asciiTheme="majorHAnsi" w:eastAsia="Times New Roman" w:hAnsiTheme="majorHAnsi"/>
          <w:i/>
        </w:rPr>
        <w:t>Music and Letters</w:t>
      </w:r>
      <w:r w:rsidR="004C5F13" w:rsidRPr="00214E8E">
        <w:rPr>
          <w:rFonts w:asciiTheme="majorHAnsi" w:eastAsia="Times New Roman" w:hAnsiTheme="majorHAnsi"/>
        </w:rPr>
        <w:t xml:space="preserve"> </w:t>
      </w:r>
      <w:r w:rsidR="00FD23EC" w:rsidRPr="00214E8E">
        <w:rPr>
          <w:rFonts w:asciiTheme="majorHAnsi" w:eastAsia="Times New Roman" w:hAnsiTheme="majorHAnsi"/>
        </w:rPr>
        <w:t>is that whether the music is good or bad is not the point</w:t>
      </w:r>
      <w:r w:rsidR="00C25722" w:rsidRPr="00214E8E">
        <w:rPr>
          <w:rFonts w:asciiTheme="majorHAnsi" w:eastAsia="Times New Roman" w:hAnsiTheme="majorHAnsi"/>
        </w:rPr>
        <w:t>,</w:t>
      </w:r>
      <w:r w:rsidR="00687BC3" w:rsidRPr="00214E8E">
        <w:rPr>
          <w:rFonts w:asciiTheme="majorHAnsi" w:eastAsia="Times New Roman" w:hAnsiTheme="majorHAnsi"/>
        </w:rPr>
        <w:t xml:space="preserve"> </w:t>
      </w:r>
      <w:r w:rsidR="0075359C" w:rsidRPr="00214E8E">
        <w:rPr>
          <w:rFonts w:asciiTheme="majorHAnsi" w:eastAsia="Times New Roman" w:hAnsiTheme="majorHAnsi"/>
        </w:rPr>
        <w:t xml:space="preserve">bad music </w:t>
      </w:r>
      <w:r w:rsidR="00C25722" w:rsidRPr="00214E8E">
        <w:rPr>
          <w:rFonts w:asciiTheme="majorHAnsi" w:eastAsia="Times New Roman" w:hAnsiTheme="majorHAnsi"/>
        </w:rPr>
        <w:t xml:space="preserve">simply maintaining </w:t>
      </w:r>
      <w:r w:rsidR="005B01B6" w:rsidRPr="00214E8E">
        <w:rPr>
          <w:rFonts w:asciiTheme="majorHAnsi" w:eastAsia="Times New Roman" w:hAnsiTheme="majorHAnsi"/>
        </w:rPr>
        <w:t>“</w:t>
      </w:r>
      <w:r w:rsidR="004C5F13" w:rsidRPr="00214E8E">
        <w:rPr>
          <w:rFonts w:asciiTheme="majorHAnsi" w:eastAsia="Times New Roman" w:hAnsiTheme="majorHAnsi"/>
        </w:rPr>
        <w:t xml:space="preserve">the </w:t>
      </w:r>
      <w:r w:rsidR="00687BC3" w:rsidRPr="00214E8E">
        <w:rPr>
          <w:rFonts w:asciiTheme="majorHAnsi" w:eastAsia="Times New Roman" w:hAnsiTheme="majorHAnsi"/>
        </w:rPr>
        <w:t>pretence of expression</w:t>
      </w:r>
      <w:r w:rsidR="004C5F13" w:rsidRPr="00214E8E">
        <w:rPr>
          <w:rFonts w:asciiTheme="majorHAnsi" w:eastAsia="Times New Roman" w:hAnsiTheme="majorHAnsi"/>
        </w:rPr>
        <w:t>, the imitation or incitement by sound of emotions unfelt</w:t>
      </w:r>
      <w:r w:rsidR="005B01B6" w:rsidRPr="00214E8E">
        <w:rPr>
          <w:rFonts w:asciiTheme="majorHAnsi" w:eastAsia="Times New Roman" w:hAnsiTheme="majorHAnsi"/>
        </w:rPr>
        <w:t>”</w:t>
      </w:r>
      <w:r w:rsidR="007B11AB" w:rsidRPr="00214E8E">
        <w:rPr>
          <w:rFonts w:asciiTheme="majorHAnsi" w:eastAsia="Times New Roman" w:hAnsiTheme="majorHAnsi"/>
        </w:rPr>
        <w:t>.</w:t>
      </w:r>
      <w:r w:rsidR="004C5F13" w:rsidRPr="00214E8E">
        <w:rPr>
          <w:rStyle w:val="EndnoteReference"/>
          <w:rFonts w:asciiTheme="majorHAnsi" w:eastAsia="Times New Roman" w:hAnsiTheme="majorHAnsi"/>
        </w:rPr>
        <w:endnoteReference w:id="32"/>
      </w:r>
      <w:r w:rsidR="007B11AB" w:rsidRPr="00214E8E">
        <w:rPr>
          <w:rFonts w:asciiTheme="majorHAnsi" w:eastAsia="Times New Roman" w:hAnsiTheme="majorHAnsi"/>
        </w:rPr>
        <w:t xml:space="preserve"> It is </w:t>
      </w:r>
      <w:r w:rsidR="00FD23EC" w:rsidRPr="00214E8E">
        <w:rPr>
          <w:rFonts w:asciiTheme="majorHAnsi" w:eastAsia="Times New Roman" w:hAnsiTheme="majorHAnsi"/>
        </w:rPr>
        <w:t xml:space="preserve">better simply to enjoy listening to </w:t>
      </w:r>
      <w:r w:rsidR="007B11AB" w:rsidRPr="00214E8E">
        <w:rPr>
          <w:rFonts w:asciiTheme="majorHAnsi" w:eastAsia="Times New Roman" w:hAnsiTheme="majorHAnsi"/>
        </w:rPr>
        <w:t>music</w:t>
      </w:r>
      <w:r w:rsidR="00FD23EC" w:rsidRPr="00214E8E">
        <w:rPr>
          <w:rFonts w:asciiTheme="majorHAnsi" w:eastAsia="Times New Roman" w:hAnsiTheme="majorHAnsi"/>
        </w:rPr>
        <w:t xml:space="preserve">, to </w:t>
      </w:r>
      <w:r w:rsidR="005B01B6" w:rsidRPr="00214E8E">
        <w:rPr>
          <w:rFonts w:asciiTheme="majorHAnsi" w:eastAsia="Times New Roman" w:hAnsiTheme="majorHAnsi"/>
        </w:rPr>
        <w:t>“</w:t>
      </w:r>
      <w:r w:rsidR="00FD23EC" w:rsidRPr="00214E8E">
        <w:rPr>
          <w:rFonts w:asciiTheme="majorHAnsi" w:eastAsia="Times New Roman" w:hAnsiTheme="majorHAnsi"/>
        </w:rPr>
        <w:t>let the music flow by</w:t>
      </w:r>
      <w:r w:rsidR="005B01B6" w:rsidRPr="00214E8E">
        <w:rPr>
          <w:rFonts w:asciiTheme="majorHAnsi" w:eastAsia="Times New Roman" w:hAnsiTheme="majorHAnsi"/>
        </w:rPr>
        <w:t>”</w:t>
      </w:r>
      <w:r w:rsidR="00FD23EC" w:rsidRPr="00214E8E">
        <w:rPr>
          <w:rFonts w:asciiTheme="majorHAnsi" w:eastAsia="Times New Roman" w:hAnsiTheme="majorHAnsi"/>
        </w:rPr>
        <w:t>,</w:t>
      </w:r>
      <w:r w:rsidR="004C5F13" w:rsidRPr="00214E8E">
        <w:rPr>
          <w:rStyle w:val="EndnoteReference"/>
          <w:rFonts w:asciiTheme="majorHAnsi" w:eastAsia="Times New Roman" w:hAnsiTheme="majorHAnsi"/>
        </w:rPr>
        <w:endnoteReference w:id="33"/>
      </w:r>
      <w:r w:rsidR="00FD23EC" w:rsidRPr="00214E8E">
        <w:rPr>
          <w:rFonts w:asciiTheme="majorHAnsi" w:eastAsia="Times New Roman" w:hAnsiTheme="majorHAnsi"/>
        </w:rPr>
        <w:t xml:space="preserve"> and not to worry about the kinds of </w:t>
      </w:r>
      <w:r w:rsidRPr="00214E8E">
        <w:rPr>
          <w:rFonts w:asciiTheme="majorHAnsi" w:eastAsia="Times New Roman" w:hAnsiTheme="majorHAnsi"/>
        </w:rPr>
        <w:t xml:space="preserve">epistemological </w:t>
      </w:r>
      <w:r w:rsidR="00FD23EC" w:rsidRPr="00214E8E">
        <w:rPr>
          <w:rFonts w:asciiTheme="majorHAnsi" w:eastAsia="Times New Roman" w:hAnsiTheme="majorHAnsi"/>
        </w:rPr>
        <w:t xml:space="preserve">claims that listening </w:t>
      </w:r>
      <w:r w:rsidRPr="00214E8E">
        <w:rPr>
          <w:rFonts w:asciiTheme="majorHAnsi" w:eastAsia="Times New Roman" w:hAnsiTheme="majorHAnsi"/>
        </w:rPr>
        <w:t xml:space="preserve">and thinking about listening </w:t>
      </w:r>
      <w:r w:rsidR="00FD23EC" w:rsidRPr="00214E8E">
        <w:rPr>
          <w:rFonts w:asciiTheme="majorHAnsi" w:eastAsia="Times New Roman" w:hAnsiTheme="majorHAnsi"/>
        </w:rPr>
        <w:t>might be making. He goes on to claim</w:t>
      </w:r>
      <w:r w:rsidR="008C1CB6" w:rsidRPr="00214E8E">
        <w:rPr>
          <w:rFonts w:asciiTheme="majorHAnsi" w:eastAsia="Times New Roman" w:hAnsiTheme="majorHAnsi"/>
        </w:rPr>
        <w:t>, in a manner similar to Heseltine</w:t>
      </w:r>
      <w:r w:rsidR="005B01B6" w:rsidRPr="00214E8E">
        <w:rPr>
          <w:rFonts w:asciiTheme="majorHAnsi" w:eastAsia="Times New Roman" w:hAnsiTheme="majorHAnsi"/>
        </w:rPr>
        <w:t>’</w:t>
      </w:r>
      <w:r w:rsidR="008C1CB6" w:rsidRPr="00214E8E">
        <w:rPr>
          <w:rFonts w:asciiTheme="majorHAnsi" w:eastAsia="Times New Roman" w:hAnsiTheme="majorHAnsi"/>
        </w:rPr>
        <w:t>s assessment of Delius,</w:t>
      </w:r>
      <w:r w:rsidR="008C1CB6" w:rsidRPr="00214E8E">
        <w:rPr>
          <w:rStyle w:val="EndnoteReference"/>
          <w:rFonts w:asciiTheme="majorHAnsi" w:eastAsia="Times New Roman" w:hAnsiTheme="majorHAnsi"/>
        </w:rPr>
        <w:endnoteReference w:id="34"/>
      </w:r>
      <w:r w:rsidR="00FD23EC" w:rsidRPr="00214E8E">
        <w:rPr>
          <w:rFonts w:asciiTheme="majorHAnsi" w:eastAsia="Times New Roman" w:hAnsiTheme="majorHAnsi"/>
        </w:rPr>
        <w:t xml:space="preserve"> that </w:t>
      </w:r>
      <w:r w:rsidR="005B01B6" w:rsidRPr="00214E8E">
        <w:rPr>
          <w:rFonts w:asciiTheme="majorHAnsi" w:eastAsia="Times New Roman" w:hAnsiTheme="majorHAnsi"/>
        </w:rPr>
        <w:t>“</w:t>
      </w:r>
      <w:r w:rsidR="00FD23EC" w:rsidRPr="00214E8E">
        <w:rPr>
          <w:rFonts w:asciiTheme="majorHAnsi" w:eastAsia="Times New Roman" w:hAnsiTheme="majorHAnsi"/>
        </w:rPr>
        <w:t>You cannot enjoy any kind of art without some mysticism about all art</w:t>
      </w:r>
      <w:r w:rsidR="005B01B6" w:rsidRPr="00214E8E">
        <w:rPr>
          <w:rFonts w:asciiTheme="majorHAnsi" w:eastAsia="Times New Roman" w:hAnsiTheme="majorHAnsi"/>
        </w:rPr>
        <w:t>”</w:t>
      </w:r>
      <w:r w:rsidR="00FD23EC" w:rsidRPr="00214E8E">
        <w:rPr>
          <w:rFonts w:asciiTheme="majorHAnsi" w:eastAsia="Times New Roman" w:hAnsiTheme="majorHAnsi"/>
        </w:rPr>
        <w:t xml:space="preserve">, that music embodies a </w:t>
      </w:r>
      <w:r w:rsidR="005B01B6" w:rsidRPr="00214E8E">
        <w:rPr>
          <w:rFonts w:asciiTheme="majorHAnsi" w:eastAsia="Times New Roman" w:hAnsiTheme="majorHAnsi"/>
        </w:rPr>
        <w:t>“</w:t>
      </w:r>
      <w:r w:rsidR="00FD23EC" w:rsidRPr="00214E8E">
        <w:rPr>
          <w:rFonts w:asciiTheme="majorHAnsi" w:eastAsia="Times New Roman" w:hAnsiTheme="majorHAnsi"/>
        </w:rPr>
        <w:t>transmigration of souls</w:t>
      </w:r>
      <w:r w:rsidR="005B01B6" w:rsidRPr="00214E8E">
        <w:rPr>
          <w:rFonts w:asciiTheme="majorHAnsi" w:eastAsia="Times New Roman" w:hAnsiTheme="majorHAnsi"/>
        </w:rPr>
        <w:t>”</w:t>
      </w:r>
      <w:r w:rsidR="00546141">
        <w:rPr>
          <w:rFonts w:asciiTheme="majorHAnsi" w:eastAsia="Times New Roman" w:hAnsiTheme="majorHAnsi"/>
        </w:rPr>
        <w:t>.</w:t>
      </w:r>
      <w:r w:rsidR="004C5F13" w:rsidRPr="00214E8E">
        <w:rPr>
          <w:rStyle w:val="EndnoteReference"/>
          <w:rFonts w:asciiTheme="majorHAnsi" w:eastAsia="Times New Roman" w:hAnsiTheme="majorHAnsi"/>
        </w:rPr>
        <w:endnoteReference w:id="35"/>
      </w:r>
      <w:r w:rsidR="00546141">
        <w:rPr>
          <w:rFonts w:asciiTheme="majorHAnsi" w:eastAsia="Times New Roman" w:hAnsiTheme="majorHAnsi"/>
        </w:rPr>
        <w:t xml:space="preserve"> B</w:t>
      </w:r>
      <w:r w:rsidR="000E775F" w:rsidRPr="00214E8E">
        <w:rPr>
          <w:rFonts w:asciiTheme="majorHAnsi" w:eastAsia="Times New Roman" w:hAnsiTheme="majorHAnsi"/>
        </w:rPr>
        <w:t xml:space="preserve">y </w:t>
      </w:r>
      <w:r w:rsidR="00546141">
        <w:rPr>
          <w:rFonts w:asciiTheme="majorHAnsi" w:eastAsia="Times New Roman" w:hAnsiTheme="majorHAnsi"/>
        </w:rPr>
        <w:t xml:space="preserve">this </w:t>
      </w:r>
      <w:r w:rsidR="000E775F" w:rsidRPr="00214E8E">
        <w:rPr>
          <w:rFonts w:asciiTheme="majorHAnsi" w:eastAsia="Times New Roman" w:hAnsiTheme="majorHAnsi"/>
        </w:rPr>
        <w:t>he means something like empathy or sympathy, and that</w:t>
      </w:r>
      <w:r w:rsidR="007B11AB" w:rsidRPr="00214E8E">
        <w:rPr>
          <w:rFonts w:asciiTheme="majorHAnsi" w:eastAsia="Times New Roman" w:hAnsiTheme="majorHAnsi"/>
        </w:rPr>
        <w:t xml:space="preserve"> the value of art is directly correlated with the intensity of delight it provides.</w:t>
      </w:r>
      <w:r w:rsidR="000E775F" w:rsidRPr="00214E8E">
        <w:rPr>
          <w:rFonts w:asciiTheme="majorHAnsi" w:eastAsia="Times New Roman" w:hAnsiTheme="majorHAnsi"/>
        </w:rPr>
        <w:t xml:space="preserve"> </w:t>
      </w:r>
      <w:r w:rsidR="0081685B" w:rsidRPr="00214E8E">
        <w:rPr>
          <w:rFonts w:asciiTheme="majorHAnsi" w:eastAsia="Times New Roman" w:hAnsiTheme="majorHAnsi"/>
        </w:rPr>
        <w:t xml:space="preserve">Echoing the title of </w:t>
      </w:r>
      <w:proofErr w:type="spellStart"/>
      <w:r w:rsidR="0081685B" w:rsidRPr="00214E8E">
        <w:rPr>
          <w:rFonts w:asciiTheme="majorHAnsi" w:eastAsia="Times New Roman" w:hAnsiTheme="majorHAnsi"/>
        </w:rPr>
        <w:t>Binyon</w:t>
      </w:r>
      <w:r w:rsidR="005B01B6" w:rsidRPr="00214E8E">
        <w:rPr>
          <w:rFonts w:asciiTheme="majorHAnsi" w:eastAsia="Times New Roman" w:hAnsiTheme="majorHAnsi"/>
        </w:rPr>
        <w:t>’</w:t>
      </w:r>
      <w:r w:rsidR="0081685B" w:rsidRPr="00214E8E">
        <w:rPr>
          <w:rFonts w:asciiTheme="majorHAnsi" w:eastAsia="Times New Roman" w:hAnsiTheme="majorHAnsi"/>
        </w:rPr>
        <w:t>s</w:t>
      </w:r>
      <w:proofErr w:type="spellEnd"/>
      <w:r w:rsidR="0081685B" w:rsidRPr="00214E8E">
        <w:rPr>
          <w:rFonts w:asciiTheme="majorHAnsi" w:eastAsia="Times New Roman" w:hAnsiTheme="majorHAnsi"/>
        </w:rPr>
        <w:t xml:space="preserve"> poem, </w:t>
      </w:r>
      <w:r w:rsidR="005B01B6" w:rsidRPr="00214E8E">
        <w:rPr>
          <w:rFonts w:asciiTheme="majorHAnsi" w:eastAsia="Times New Roman" w:hAnsiTheme="majorHAnsi"/>
        </w:rPr>
        <w:t>‘</w:t>
      </w:r>
      <w:r w:rsidR="0081685B" w:rsidRPr="00214E8E">
        <w:rPr>
          <w:rFonts w:asciiTheme="majorHAnsi" w:eastAsia="Times New Roman" w:hAnsiTheme="majorHAnsi"/>
        </w:rPr>
        <w:t>The Shyness of Beauty</w:t>
      </w:r>
      <w:r w:rsidR="00303A15" w:rsidRPr="00214E8E">
        <w:rPr>
          <w:rFonts w:asciiTheme="majorHAnsi" w:eastAsia="Times New Roman" w:hAnsiTheme="majorHAnsi"/>
        </w:rPr>
        <w:t>’</w:t>
      </w:r>
      <w:r w:rsidR="00C25722" w:rsidRPr="00214E8E">
        <w:rPr>
          <w:rFonts w:asciiTheme="majorHAnsi" w:eastAsia="Times New Roman" w:hAnsiTheme="majorHAnsi"/>
        </w:rPr>
        <w:t xml:space="preserve">, </w:t>
      </w:r>
      <w:r w:rsidR="0081685B" w:rsidRPr="00214E8E">
        <w:rPr>
          <w:rFonts w:asciiTheme="majorHAnsi" w:eastAsia="Times New Roman" w:hAnsiTheme="majorHAnsi"/>
        </w:rPr>
        <w:t>Clutton-Brock</w:t>
      </w:r>
      <w:r w:rsidR="005B01B6" w:rsidRPr="00214E8E">
        <w:rPr>
          <w:rFonts w:asciiTheme="majorHAnsi" w:eastAsia="Times New Roman" w:hAnsiTheme="majorHAnsi"/>
        </w:rPr>
        <w:t>’</w:t>
      </w:r>
      <w:r w:rsidR="0081685B" w:rsidRPr="00214E8E">
        <w:rPr>
          <w:rFonts w:asciiTheme="majorHAnsi" w:eastAsia="Times New Roman" w:hAnsiTheme="majorHAnsi"/>
        </w:rPr>
        <w:t>s</w:t>
      </w:r>
      <w:r w:rsidR="00546141">
        <w:rPr>
          <w:rFonts w:asciiTheme="majorHAnsi" w:eastAsia="Times New Roman" w:hAnsiTheme="majorHAnsi"/>
        </w:rPr>
        <w:t xml:space="preserve"> conclusion runs</w:t>
      </w:r>
      <w:r w:rsidR="000E775F" w:rsidRPr="00214E8E">
        <w:rPr>
          <w:rFonts w:asciiTheme="majorHAnsi" w:eastAsia="Times New Roman" w:hAnsiTheme="majorHAnsi"/>
        </w:rPr>
        <w:t xml:space="preserve"> </w:t>
      </w:r>
      <w:r w:rsidRPr="00214E8E">
        <w:rPr>
          <w:rFonts w:asciiTheme="majorHAnsi" w:eastAsia="Times New Roman" w:hAnsiTheme="majorHAnsi"/>
        </w:rPr>
        <w:t>as follows</w:t>
      </w:r>
      <w:r w:rsidR="000E775F" w:rsidRPr="00214E8E">
        <w:rPr>
          <w:rFonts w:asciiTheme="majorHAnsi" w:eastAsia="Times New Roman" w:hAnsiTheme="majorHAnsi"/>
        </w:rPr>
        <w:t xml:space="preserve">: </w:t>
      </w:r>
      <w:r w:rsidR="005B01B6" w:rsidRPr="00214E8E">
        <w:rPr>
          <w:rFonts w:asciiTheme="majorHAnsi" w:eastAsia="Times New Roman" w:hAnsiTheme="majorHAnsi"/>
        </w:rPr>
        <w:t>“</w:t>
      </w:r>
      <w:r w:rsidR="000E775F" w:rsidRPr="00214E8E">
        <w:rPr>
          <w:rFonts w:asciiTheme="majorHAnsi" w:eastAsia="Times New Roman" w:hAnsiTheme="majorHAnsi"/>
        </w:rPr>
        <w:t>that is how we ought to listen to great music, emptying the mind of all expectations and all memory of verbal descriptions, trusting in the power of the artist to fill our minds with his own beauty, which will assuredly be unlike any other.</w:t>
      </w:r>
      <w:r w:rsidR="005B01B6" w:rsidRPr="00214E8E">
        <w:rPr>
          <w:rFonts w:asciiTheme="majorHAnsi" w:eastAsia="Times New Roman" w:hAnsiTheme="majorHAnsi"/>
        </w:rPr>
        <w:t>”</w:t>
      </w:r>
      <w:r w:rsidR="00303A15" w:rsidRPr="00214E8E">
        <w:rPr>
          <w:rFonts w:asciiTheme="majorHAnsi" w:eastAsia="Times New Roman" w:hAnsiTheme="majorHAnsi"/>
        </w:rPr>
        <w:t xml:space="preserve"> </w:t>
      </w:r>
      <w:r w:rsidR="005B01B6" w:rsidRPr="00214E8E">
        <w:rPr>
          <w:rFonts w:asciiTheme="majorHAnsi" w:eastAsia="Times New Roman" w:hAnsiTheme="majorHAnsi"/>
        </w:rPr>
        <w:t>“</w:t>
      </w:r>
      <w:r w:rsidR="00303A15" w:rsidRPr="00214E8E">
        <w:rPr>
          <w:rFonts w:asciiTheme="majorHAnsi" w:eastAsia="Times New Roman" w:hAnsiTheme="majorHAnsi"/>
        </w:rPr>
        <w:t>[F]</w:t>
      </w:r>
      <w:r w:rsidR="000E775F" w:rsidRPr="00214E8E">
        <w:rPr>
          <w:rFonts w:asciiTheme="majorHAnsi" w:eastAsia="Times New Roman" w:hAnsiTheme="majorHAnsi"/>
        </w:rPr>
        <w:t>or by listening</w:t>
      </w:r>
      <w:r w:rsidR="00303A15" w:rsidRPr="00214E8E">
        <w:rPr>
          <w:rFonts w:asciiTheme="majorHAnsi" w:eastAsia="Times New Roman" w:hAnsiTheme="majorHAnsi"/>
        </w:rPr>
        <w:t>”, he argues, “</w:t>
      </w:r>
      <w:proofErr w:type="gramStart"/>
      <w:r w:rsidR="000E775F" w:rsidRPr="00214E8E">
        <w:rPr>
          <w:rFonts w:asciiTheme="majorHAnsi" w:eastAsia="Times New Roman" w:hAnsiTheme="majorHAnsi"/>
        </w:rPr>
        <w:t>we</w:t>
      </w:r>
      <w:proofErr w:type="gramEnd"/>
      <w:r w:rsidR="000E775F" w:rsidRPr="00214E8E">
        <w:rPr>
          <w:rFonts w:asciiTheme="majorHAnsi" w:eastAsia="Times New Roman" w:hAnsiTheme="majorHAnsi"/>
        </w:rPr>
        <w:t xml:space="preserve"> do attain to a kind of knowledge which is real though it lacks precision.</w:t>
      </w:r>
      <w:r w:rsidR="005B01B6" w:rsidRPr="00214E8E">
        <w:rPr>
          <w:rFonts w:asciiTheme="majorHAnsi" w:eastAsia="Times New Roman" w:hAnsiTheme="majorHAnsi"/>
        </w:rPr>
        <w:t>”</w:t>
      </w:r>
      <w:r w:rsidR="000E775F" w:rsidRPr="00214E8E">
        <w:rPr>
          <w:rStyle w:val="EndnoteReference"/>
          <w:rFonts w:asciiTheme="majorHAnsi" w:eastAsia="Times New Roman" w:hAnsiTheme="majorHAnsi"/>
        </w:rPr>
        <w:endnoteReference w:id="36"/>
      </w:r>
    </w:p>
    <w:p w:rsidR="00C71606" w:rsidRPr="00214E8E" w:rsidRDefault="00C25722" w:rsidP="002B5EBF">
      <w:pPr>
        <w:spacing w:line="480" w:lineRule="auto"/>
        <w:rPr>
          <w:rFonts w:asciiTheme="majorHAnsi" w:eastAsia="Times New Roman" w:hAnsiTheme="majorHAnsi"/>
        </w:rPr>
      </w:pPr>
      <w:r w:rsidRPr="00214E8E">
        <w:rPr>
          <w:rFonts w:asciiTheme="majorHAnsi" w:eastAsia="Times New Roman" w:hAnsiTheme="majorHAnsi"/>
        </w:rPr>
        <w:tab/>
      </w:r>
      <w:r w:rsidR="00303A15" w:rsidRPr="00214E8E">
        <w:rPr>
          <w:rFonts w:asciiTheme="majorHAnsi" w:eastAsia="Times New Roman" w:hAnsiTheme="majorHAnsi"/>
        </w:rPr>
        <w:t xml:space="preserve">Clutton-Brock’s broad position in ‘On Listening to Music’ </w:t>
      </w:r>
      <w:r w:rsidR="00C71606" w:rsidRPr="00214E8E">
        <w:rPr>
          <w:rFonts w:asciiTheme="majorHAnsi" w:eastAsia="Times New Roman" w:hAnsiTheme="majorHAnsi"/>
        </w:rPr>
        <w:t>can be interpreted as a</w:t>
      </w:r>
      <w:r w:rsidR="00B84170" w:rsidRPr="00214E8E">
        <w:rPr>
          <w:rFonts w:asciiTheme="majorHAnsi" w:eastAsia="Times New Roman" w:hAnsiTheme="majorHAnsi"/>
        </w:rPr>
        <w:t>n educated</w:t>
      </w:r>
      <w:r w:rsidR="00C71606" w:rsidRPr="00214E8E">
        <w:rPr>
          <w:rFonts w:asciiTheme="majorHAnsi" w:eastAsia="Times New Roman" w:hAnsiTheme="majorHAnsi"/>
        </w:rPr>
        <w:t xml:space="preserve"> </w:t>
      </w:r>
      <w:r w:rsidR="00303A15" w:rsidRPr="00214E8E">
        <w:rPr>
          <w:rFonts w:asciiTheme="majorHAnsi" w:eastAsia="Times New Roman" w:hAnsiTheme="majorHAnsi"/>
        </w:rPr>
        <w:t xml:space="preserve">and </w:t>
      </w:r>
      <w:r w:rsidR="00546141">
        <w:rPr>
          <w:rFonts w:asciiTheme="majorHAnsi" w:eastAsia="Times New Roman" w:hAnsiTheme="majorHAnsi"/>
        </w:rPr>
        <w:t xml:space="preserve">concerned </w:t>
      </w:r>
      <w:r w:rsidR="00C71606" w:rsidRPr="00214E8E">
        <w:rPr>
          <w:rFonts w:asciiTheme="majorHAnsi" w:eastAsia="Times New Roman" w:hAnsiTheme="majorHAnsi"/>
        </w:rPr>
        <w:t>listener</w:t>
      </w:r>
      <w:r w:rsidR="005B01B6" w:rsidRPr="00214E8E">
        <w:rPr>
          <w:rFonts w:asciiTheme="majorHAnsi" w:eastAsia="Times New Roman" w:hAnsiTheme="majorHAnsi"/>
        </w:rPr>
        <w:t>’</w:t>
      </w:r>
      <w:r w:rsidR="00C71606" w:rsidRPr="00214E8E">
        <w:rPr>
          <w:rFonts w:asciiTheme="majorHAnsi" w:eastAsia="Times New Roman" w:hAnsiTheme="majorHAnsi"/>
        </w:rPr>
        <w:t xml:space="preserve">s loose and baggy definition of the term </w:t>
      </w:r>
      <w:r w:rsidR="005B01B6" w:rsidRPr="00214E8E">
        <w:rPr>
          <w:rFonts w:asciiTheme="majorHAnsi" w:eastAsia="Times New Roman" w:hAnsiTheme="majorHAnsi"/>
        </w:rPr>
        <w:t>‘</w:t>
      </w:r>
      <w:r w:rsidR="00C71606" w:rsidRPr="00214E8E">
        <w:rPr>
          <w:rFonts w:asciiTheme="majorHAnsi" w:eastAsia="Times New Roman" w:hAnsiTheme="majorHAnsi"/>
        </w:rPr>
        <w:t>rhapsody</w:t>
      </w:r>
      <w:r w:rsidR="005B01B6" w:rsidRPr="00214E8E">
        <w:rPr>
          <w:rFonts w:asciiTheme="majorHAnsi" w:eastAsia="Times New Roman" w:hAnsiTheme="majorHAnsi"/>
        </w:rPr>
        <w:t>’</w:t>
      </w:r>
      <w:r w:rsidR="00B84170" w:rsidRPr="00214E8E">
        <w:rPr>
          <w:rFonts w:asciiTheme="majorHAnsi" w:eastAsia="Times New Roman" w:hAnsiTheme="majorHAnsi"/>
        </w:rPr>
        <w:t xml:space="preserve">. This is </w:t>
      </w:r>
      <w:r w:rsidR="008B0592" w:rsidRPr="00214E8E">
        <w:rPr>
          <w:rFonts w:asciiTheme="majorHAnsi" w:eastAsia="Times New Roman" w:hAnsiTheme="majorHAnsi"/>
        </w:rPr>
        <w:t xml:space="preserve">a </w:t>
      </w:r>
      <w:r w:rsidR="00F31AEC" w:rsidRPr="00214E8E">
        <w:rPr>
          <w:rFonts w:asciiTheme="majorHAnsi" w:eastAsia="Times New Roman" w:hAnsiTheme="majorHAnsi"/>
        </w:rPr>
        <w:t xml:space="preserve">characteristically </w:t>
      </w:r>
      <w:r w:rsidR="00C71606" w:rsidRPr="00214E8E">
        <w:rPr>
          <w:rFonts w:asciiTheme="majorHAnsi" w:eastAsia="Times New Roman" w:hAnsiTheme="majorHAnsi"/>
        </w:rPr>
        <w:t>Delian term</w:t>
      </w:r>
      <w:r w:rsidR="008B0592" w:rsidRPr="00214E8E">
        <w:rPr>
          <w:rFonts w:asciiTheme="majorHAnsi" w:eastAsia="Times New Roman" w:hAnsiTheme="majorHAnsi"/>
        </w:rPr>
        <w:t>,</w:t>
      </w:r>
      <w:r w:rsidR="00C71606" w:rsidRPr="00214E8E">
        <w:rPr>
          <w:rFonts w:asciiTheme="majorHAnsi" w:eastAsia="Times New Roman" w:hAnsiTheme="majorHAnsi"/>
        </w:rPr>
        <w:t xml:space="preserve"> </w:t>
      </w:r>
      <w:r w:rsidR="008B0592" w:rsidRPr="00214E8E">
        <w:rPr>
          <w:rFonts w:asciiTheme="majorHAnsi" w:eastAsia="Times New Roman" w:hAnsiTheme="majorHAnsi"/>
        </w:rPr>
        <w:t xml:space="preserve">and it </w:t>
      </w:r>
      <w:r w:rsidR="00C71606" w:rsidRPr="00214E8E">
        <w:rPr>
          <w:rFonts w:asciiTheme="majorHAnsi" w:eastAsia="Times New Roman" w:hAnsiTheme="majorHAnsi"/>
        </w:rPr>
        <w:t xml:space="preserve">is used all over the </w:t>
      </w:r>
      <w:r w:rsidR="008B0592" w:rsidRPr="00214E8E">
        <w:rPr>
          <w:rFonts w:asciiTheme="majorHAnsi" w:eastAsia="Times New Roman" w:hAnsiTheme="majorHAnsi"/>
        </w:rPr>
        <w:t xml:space="preserve">primary and secondary </w:t>
      </w:r>
      <w:r w:rsidR="00C71606" w:rsidRPr="00214E8E">
        <w:rPr>
          <w:rFonts w:asciiTheme="majorHAnsi" w:eastAsia="Times New Roman" w:hAnsiTheme="majorHAnsi"/>
        </w:rPr>
        <w:t xml:space="preserve">literature, </w:t>
      </w:r>
      <w:r w:rsidRPr="00214E8E">
        <w:rPr>
          <w:rFonts w:asciiTheme="majorHAnsi" w:eastAsia="Times New Roman" w:hAnsiTheme="majorHAnsi"/>
        </w:rPr>
        <w:t xml:space="preserve">both positively and negatively, </w:t>
      </w:r>
      <w:r w:rsidR="00546141">
        <w:rPr>
          <w:rFonts w:asciiTheme="majorHAnsi" w:eastAsia="Times New Roman" w:hAnsiTheme="majorHAnsi"/>
        </w:rPr>
        <w:t xml:space="preserve">and </w:t>
      </w:r>
      <w:r w:rsidR="00B84170" w:rsidRPr="00214E8E">
        <w:rPr>
          <w:rFonts w:asciiTheme="majorHAnsi" w:eastAsia="Times New Roman" w:hAnsiTheme="majorHAnsi"/>
        </w:rPr>
        <w:t>sometimes defensively as a means of rehabilitating Delius</w:t>
      </w:r>
      <w:r w:rsidR="005B01B6" w:rsidRPr="00214E8E">
        <w:rPr>
          <w:rFonts w:asciiTheme="majorHAnsi" w:eastAsia="Times New Roman" w:hAnsiTheme="majorHAnsi"/>
        </w:rPr>
        <w:t>’</w:t>
      </w:r>
      <w:r w:rsidR="00B84170" w:rsidRPr="00214E8E">
        <w:rPr>
          <w:rFonts w:asciiTheme="majorHAnsi" w:eastAsia="Times New Roman" w:hAnsiTheme="majorHAnsi"/>
        </w:rPr>
        <w:t xml:space="preserve"> compositional technique. </w:t>
      </w:r>
      <w:r w:rsidR="00546141">
        <w:rPr>
          <w:rFonts w:asciiTheme="majorHAnsi" w:eastAsia="Times New Roman" w:hAnsiTheme="majorHAnsi"/>
        </w:rPr>
        <w:t xml:space="preserve">An extreme example from later can be read in </w:t>
      </w:r>
      <w:r w:rsidR="00B84170" w:rsidRPr="00214E8E">
        <w:rPr>
          <w:rFonts w:asciiTheme="majorHAnsi" w:eastAsia="Times New Roman" w:hAnsiTheme="majorHAnsi"/>
        </w:rPr>
        <w:t>Arthur Hutchings</w:t>
      </w:r>
      <w:r w:rsidR="00546141">
        <w:rPr>
          <w:rFonts w:asciiTheme="majorHAnsi" w:eastAsia="Times New Roman" w:hAnsiTheme="majorHAnsi"/>
        </w:rPr>
        <w:t>’s 1948 book on Delius, which</w:t>
      </w:r>
      <w:r w:rsidR="00B84170" w:rsidRPr="00214E8E">
        <w:rPr>
          <w:rFonts w:asciiTheme="majorHAnsi" w:eastAsia="Times New Roman" w:hAnsiTheme="majorHAnsi"/>
        </w:rPr>
        <w:t xml:space="preserve"> </w:t>
      </w:r>
      <w:r w:rsidR="00F31AEC" w:rsidRPr="00214E8E">
        <w:rPr>
          <w:rFonts w:asciiTheme="majorHAnsi" w:eastAsia="Times New Roman" w:hAnsiTheme="majorHAnsi"/>
        </w:rPr>
        <w:t xml:space="preserve">went </w:t>
      </w:r>
      <w:r w:rsidR="00B84170" w:rsidRPr="00214E8E">
        <w:rPr>
          <w:rFonts w:asciiTheme="majorHAnsi" w:eastAsia="Times New Roman" w:hAnsiTheme="majorHAnsi"/>
        </w:rPr>
        <w:t xml:space="preserve">so far as to assert </w:t>
      </w:r>
      <w:r w:rsidRPr="00214E8E">
        <w:rPr>
          <w:rFonts w:asciiTheme="majorHAnsi" w:eastAsia="Times New Roman" w:hAnsiTheme="majorHAnsi"/>
        </w:rPr>
        <w:t xml:space="preserve">rather </w:t>
      </w:r>
      <w:r w:rsidR="005434C4" w:rsidRPr="00214E8E">
        <w:rPr>
          <w:rFonts w:asciiTheme="majorHAnsi" w:eastAsia="Times New Roman" w:hAnsiTheme="majorHAnsi"/>
        </w:rPr>
        <w:t xml:space="preserve">bluntly </w:t>
      </w:r>
      <w:r w:rsidR="00B84170" w:rsidRPr="00214E8E">
        <w:rPr>
          <w:rFonts w:asciiTheme="majorHAnsi" w:eastAsia="Times New Roman" w:hAnsiTheme="majorHAnsi"/>
        </w:rPr>
        <w:t xml:space="preserve">that the Violin Concerto would </w:t>
      </w:r>
      <w:r w:rsidRPr="00214E8E">
        <w:rPr>
          <w:rFonts w:asciiTheme="majorHAnsi" w:eastAsia="Times New Roman" w:hAnsiTheme="majorHAnsi"/>
        </w:rPr>
        <w:t xml:space="preserve">certainly </w:t>
      </w:r>
      <w:r w:rsidR="00B84170" w:rsidRPr="00214E8E">
        <w:rPr>
          <w:rFonts w:asciiTheme="majorHAnsi" w:eastAsia="Times New Roman" w:hAnsiTheme="majorHAnsi"/>
        </w:rPr>
        <w:t xml:space="preserve">have been </w:t>
      </w:r>
      <w:r w:rsidR="008A31EA" w:rsidRPr="00214E8E">
        <w:rPr>
          <w:rFonts w:asciiTheme="majorHAnsi" w:eastAsia="Times New Roman" w:hAnsiTheme="majorHAnsi"/>
        </w:rPr>
        <w:t xml:space="preserve">a </w:t>
      </w:r>
      <w:r w:rsidR="00B84170" w:rsidRPr="00214E8E">
        <w:rPr>
          <w:rFonts w:asciiTheme="majorHAnsi" w:eastAsia="Times New Roman" w:hAnsiTheme="majorHAnsi"/>
        </w:rPr>
        <w:t xml:space="preserve">more successful </w:t>
      </w:r>
      <w:r w:rsidR="008A31EA" w:rsidRPr="00214E8E">
        <w:rPr>
          <w:rFonts w:asciiTheme="majorHAnsi" w:eastAsia="Times New Roman" w:hAnsiTheme="majorHAnsi"/>
        </w:rPr>
        <w:t xml:space="preserve">work </w:t>
      </w:r>
      <w:r w:rsidR="00B84170" w:rsidRPr="00214E8E">
        <w:rPr>
          <w:rFonts w:asciiTheme="majorHAnsi" w:eastAsia="Times New Roman" w:hAnsiTheme="majorHAnsi"/>
        </w:rPr>
        <w:t xml:space="preserve">if, </w:t>
      </w:r>
      <w:r w:rsidR="00B84170" w:rsidRPr="00214E8E">
        <w:rPr>
          <w:rFonts w:asciiTheme="majorHAnsi" w:eastAsia="Times New Roman" w:hAnsiTheme="majorHAnsi"/>
          <w:i/>
        </w:rPr>
        <w:t>inter alia</w:t>
      </w:r>
      <w:r w:rsidR="00B84170" w:rsidRPr="00214E8E">
        <w:rPr>
          <w:rFonts w:asciiTheme="majorHAnsi" w:eastAsia="Times New Roman" w:hAnsiTheme="majorHAnsi"/>
        </w:rPr>
        <w:t>, its title had been Rhapsody for Violin and Orchestra.</w:t>
      </w:r>
      <w:r w:rsidR="00B84170" w:rsidRPr="00214E8E">
        <w:rPr>
          <w:rStyle w:val="EndnoteReference"/>
          <w:rFonts w:asciiTheme="majorHAnsi" w:eastAsia="Times New Roman" w:hAnsiTheme="majorHAnsi"/>
        </w:rPr>
        <w:endnoteReference w:id="37"/>
      </w:r>
      <w:r w:rsidR="008B0592" w:rsidRPr="00214E8E">
        <w:rPr>
          <w:rFonts w:asciiTheme="majorHAnsi" w:eastAsia="Times New Roman" w:hAnsiTheme="majorHAnsi"/>
        </w:rPr>
        <w:t xml:space="preserve"> </w:t>
      </w:r>
      <w:r w:rsidR="003E128A" w:rsidRPr="00214E8E">
        <w:rPr>
          <w:rFonts w:asciiTheme="majorHAnsi" w:eastAsia="Times New Roman" w:hAnsiTheme="majorHAnsi"/>
        </w:rPr>
        <w:t xml:space="preserve">Heseltine uses the term </w:t>
      </w:r>
      <w:r w:rsidRPr="00214E8E">
        <w:rPr>
          <w:rFonts w:asciiTheme="majorHAnsi" w:eastAsia="Times New Roman" w:hAnsiTheme="majorHAnsi"/>
        </w:rPr>
        <w:t xml:space="preserve">rhapsody </w:t>
      </w:r>
      <w:r w:rsidR="003E128A" w:rsidRPr="00214E8E">
        <w:rPr>
          <w:rFonts w:asciiTheme="majorHAnsi" w:eastAsia="Times New Roman" w:hAnsiTheme="majorHAnsi"/>
        </w:rPr>
        <w:t>liberally and frequently</w:t>
      </w:r>
      <w:r w:rsidR="00546141">
        <w:rPr>
          <w:rFonts w:asciiTheme="majorHAnsi" w:eastAsia="Times New Roman" w:hAnsiTheme="majorHAnsi"/>
        </w:rPr>
        <w:t xml:space="preserve"> in his book</w:t>
      </w:r>
      <w:r w:rsidR="003E128A" w:rsidRPr="00214E8E">
        <w:rPr>
          <w:rFonts w:asciiTheme="majorHAnsi" w:eastAsia="Times New Roman" w:hAnsiTheme="majorHAnsi"/>
        </w:rPr>
        <w:t xml:space="preserve">, proposing that </w:t>
      </w:r>
      <w:r w:rsidR="005B01B6" w:rsidRPr="00214E8E">
        <w:rPr>
          <w:rFonts w:asciiTheme="majorHAnsi" w:eastAsia="Times New Roman" w:hAnsiTheme="majorHAnsi"/>
        </w:rPr>
        <w:t>“</w:t>
      </w:r>
      <w:r w:rsidR="003E128A" w:rsidRPr="00214E8E">
        <w:rPr>
          <w:rFonts w:asciiTheme="majorHAnsi" w:eastAsia="Times New Roman" w:hAnsiTheme="majorHAnsi"/>
        </w:rPr>
        <w:t xml:space="preserve">One might almost say that </w:t>
      </w:r>
      <w:r w:rsidR="003E128A" w:rsidRPr="00214E8E">
        <w:rPr>
          <w:rFonts w:asciiTheme="majorHAnsi" w:eastAsia="Times New Roman" w:hAnsiTheme="majorHAnsi"/>
        </w:rPr>
        <w:lastRenderedPageBreak/>
        <w:t xml:space="preserve">the </w:t>
      </w:r>
      <w:r w:rsidR="003E128A" w:rsidRPr="00214E8E">
        <w:rPr>
          <w:rFonts w:asciiTheme="majorHAnsi" w:eastAsia="Times New Roman" w:hAnsiTheme="majorHAnsi"/>
          <w:i/>
        </w:rPr>
        <w:t>chord</w:t>
      </w:r>
      <w:r w:rsidR="003E128A" w:rsidRPr="00214E8E">
        <w:rPr>
          <w:rFonts w:asciiTheme="majorHAnsi" w:eastAsia="Times New Roman" w:hAnsiTheme="majorHAnsi"/>
        </w:rPr>
        <w:t xml:space="preserve"> is to him [Delius] what the </w:t>
      </w:r>
      <w:r w:rsidR="003E128A" w:rsidRPr="00214E8E">
        <w:rPr>
          <w:rFonts w:asciiTheme="majorHAnsi" w:eastAsia="Times New Roman" w:hAnsiTheme="majorHAnsi"/>
          <w:i/>
        </w:rPr>
        <w:t>note</w:t>
      </w:r>
      <w:r w:rsidR="003E128A" w:rsidRPr="00214E8E">
        <w:rPr>
          <w:rFonts w:asciiTheme="majorHAnsi" w:eastAsia="Times New Roman" w:hAnsiTheme="majorHAnsi"/>
        </w:rPr>
        <w:t xml:space="preserve"> was to the polyphonic composers, and that the melodic </w:t>
      </w:r>
      <w:r w:rsidR="003E128A" w:rsidRPr="00214E8E">
        <w:rPr>
          <w:rFonts w:asciiTheme="majorHAnsi" w:eastAsia="Times New Roman" w:hAnsiTheme="majorHAnsi"/>
          <w:i/>
        </w:rPr>
        <w:t>line</w:t>
      </w:r>
      <w:r w:rsidR="003E128A" w:rsidRPr="00214E8E">
        <w:rPr>
          <w:rFonts w:asciiTheme="majorHAnsi" w:eastAsia="Times New Roman" w:hAnsiTheme="majorHAnsi"/>
        </w:rPr>
        <w:t xml:space="preserve"> is always seen in a higher dimensional aspect, so to speak, of changing chords.</w:t>
      </w:r>
      <w:r w:rsidR="005B01B6" w:rsidRPr="00214E8E">
        <w:rPr>
          <w:rFonts w:asciiTheme="majorHAnsi" w:eastAsia="Times New Roman" w:hAnsiTheme="majorHAnsi"/>
        </w:rPr>
        <w:t>”</w:t>
      </w:r>
      <w:r w:rsidR="003E128A" w:rsidRPr="00214E8E">
        <w:rPr>
          <w:rStyle w:val="EndnoteReference"/>
          <w:rFonts w:asciiTheme="majorHAnsi" w:eastAsia="Times New Roman" w:hAnsiTheme="majorHAnsi"/>
        </w:rPr>
        <w:endnoteReference w:id="38"/>
      </w:r>
      <w:r w:rsidR="00B4367D" w:rsidRPr="00214E8E">
        <w:rPr>
          <w:rFonts w:asciiTheme="majorHAnsi" w:eastAsia="Times New Roman" w:hAnsiTheme="majorHAnsi"/>
        </w:rPr>
        <w:t xml:space="preserve"> – </w:t>
      </w:r>
      <w:proofErr w:type="gramStart"/>
      <w:r w:rsidR="00B4367D" w:rsidRPr="00214E8E">
        <w:rPr>
          <w:rFonts w:asciiTheme="majorHAnsi" w:eastAsia="Times New Roman" w:hAnsiTheme="majorHAnsi"/>
        </w:rPr>
        <w:t>of</w:t>
      </w:r>
      <w:proofErr w:type="gramEnd"/>
      <w:r w:rsidRPr="00214E8E">
        <w:rPr>
          <w:rFonts w:asciiTheme="majorHAnsi" w:eastAsia="Times New Roman" w:hAnsiTheme="majorHAnsi"/>
        </w:rPr>
        <w:t xml:space="preserve"> rhapsody. Neville Cardus would echo</w:t>
      </w:r>
      <w:r w:rsidR="00B4367D" w:rsidRPr="00214E8E">
        <w:rPr>
          <w:rFonts w:asciiTheme="majorHAnsi" w:eastAsia="Times New Roman" w:hAnsiTheme="majorHAnsi"/>
        </w:rPr>
        <w:t xml:space="preserve"> this polyphonic idea twenty years later</w:t>
      </w:r>
      <w:r w:rsidRPr="00214E8E">
        <w:rPr>
          <w:rFonts w:asciiTheme="majorHAnsi" w:eastAsia="Times New Roman" w:hAnsiTheme="majorHAnsi"/>
        </w:rPr>
        <w:t>,</w:t>
      </w:r>
      <w:r w:rsidR="00B4367D" w:rsidRPr="00214E8E">
        <w:rPr>
          <w:rFonts w:asciiTheme="majorHAnsi" w:eastAsia="Times New Roman" w:hAnsiTheme="majorHAnsi"/>
        </w:rPr>
        <w:t xml:space="preserve"> in his conclusion that </w:t>
      </w:r>
      <w:r w:rsidR="005B01B6" w:rsidRPr="00214E8E">
        <w:rPr>
          <w:rFonts w:asciiTheme="majorHAnsi" w:eastAsia="Times New Roman" w:hAnsiTheme="majorHAnsi"/>
        </w:rPr>
        <w:t>“</w:t>
      </w:r>
      <w:r w:rsidR="00B4367D" w:rsidRPr="00214E8E">
        <w:rPr>
          <w:rFonts w:asciiTheme="majorHAnsi" w:eastAsia="Times New Roman" w:hAnsiTheme="majorHAnsi"/>
        </w:rPr>
        <w:t>There is no prose in it [Delius</w:t>
      </w:r>
      <w:r w:rsidR="005B01B6" w:rsidRPr="00214E8E">
        <w:rPr>
          <w:rFonts w:asciiTheme="majorHAnsi" w:eastAsia="Times New Roman" w:hAnsiTheme="majorHAnsi"/>
        </w:rPr>
        <w:t>’</w:t>
      </w:r>
      <w:r w:rsidR="00B4367D" w:rsidRPr="00214E8E">
        <w:rPr>
          <w:rFonts w:asciiTheme="majorHAnsi" w:eastAsia="Times New Roman" w:hAnsiTheme="majorHAnsi"/>
        </w:rPr>
        <w:t xml:space="preserve"> music]; it is all vibrations, vibrations of happiness, ecstasy, foreboding, pity, loneliness, resignation.</w:t>
      </w:r>
      <w:r w:rsidR="005B01B6" w:rsidRPr="00214E8E">
        <w:rPr>
          <w:rFonts w:asciiTheme="majorHAnsi" w:eastAsia="Times New Roman" w:hAnsiTheme="majorHAnsi"/>
        </w:rPr>
        <w:t>”</w:t>
      </w:r>
      <w:r w:rsidR="00B4367D" w:rsidRPr="00214E8E">
        <w:rPr>
          <w:rStyle w:val="EndnoteReference"/>
          <w:rFonts w:asciiTheme="majorHAnsi" w:eastAsia="Times New Roman" w:hAnsiTheme="majorHAnsi"/>
        </w:rPr>
        <w:endnoteReference w:id="39"/>
      </w:r>
      <w:r w:rsidR="00B4367D" w:rsidRPr="00214E8E">
        <w:rPr>
          <w:rFonts w:asciiTheme="majorHAnsi" w:eastAsia="Times New Roman" w:hAnsiTheme="majorHAnsi"/>
        </w:rPr>
        <w:t xml:space="preserve"> </w:t>
      </w:r>
      <w:r w:rsidR="008B0592" w:rsidRPr="00214E8E">
        <w:rPr>
          <w:rFonts w:asciiTheme="majorHAnsi" w:eastAsia="Times New Roman" w:hAnsiTheme="majorHAnsi"/>
        </w:rPr>
        <w:t>Dyson</w:t>
      </w:r>
      <w:r w:rsidR="00B4367D" w:rsidRPr="00214E8E">
        <w:rPr>
          <w:rFonts w:asciiTheme="majorHAnsi" w:eastAsia="Times New Roman" w:hAnsiTheme="majorHAnsi"/>
        </w:rPr>
        <w:t>, too,</w:t>
      </w:r>
      <w:r w:rsidR="00303A15" w:rsidRPr="00214E8E">
        <w:rPr>
          <w:rFonts w:asciiTheme="majorHAnsi" w:eastAsia="Times New Roman" w:hAnsiTheme="majorHAnsi"/>
        </w:rPr>
        <w:t xml:space="preserve"> uses the term. L</w:t>
      </w:r>
      <w:r w:rsidR="00DE7BBD" w:rsidRPr="00214E8E">
        <w:rPr>
          <w:rFonts w:asciiTheme="majorHAnsi" w:eastAsia="Times New Roman" w:hAnsiTheme="majorHAnsi"/>
        </w:rPr>
        <w:t>ike Heseltine,</w:t>
      </w:r>
      <w:r w:rsidR="008B0592" w:rsidRPr="00214E8E">
        <w:rPr>
          <w:rFonts w:asciiTheme="majorHAnsi" w:eastAsia="Times New Roman" w:hAnsiTheme="majorHAnsi"/>
        </w:rPr>
        <w:t xml:space="preserve"> </w:t>
      </w:r>
      <w:r w:rsidR="00303A15" w:rsidRPr="00214E8E">
        <w:rPr>
          <w:rFonts w:asciiTheme="majorHAnsi" w:eastAsia="Times New Roman" w:hAnsiTheme="majorHAnsi"/>
        </w:rPr>
        <w:t xml:space="preserve">he concludes </w:t>
      </w:r>
      <w:r w:rsidR="008B0592" w:rsidRPr="00214E8E">
        <w:rPr>
          <w:rFonts w:asciiTheme="majorHAnsi" w:eastAsia="Times New Roman" w:hAnsiTheme="majorHAnsi"/>
        </w:rPr>
        <w:t>that Delius</w:t>
      </w:r>
      <w:r w:rsidR="005B01B6" w:rsidRPr="00214E8E">
        <w:rPr>
          <w:rFonts w:asciiTheme="majorHAnsi" w:eastAsia="Times New Roman" w:hAnsiTheme="majorHAnsi"/>
        </w:rPr>
        <w:t>’</w:t>
      </w:r>
      <w:r w:rsidR="00B4367D" w:rsidRPr="00214E8E">
        <w:rPr>
          <w:rFonts w:asciiTheme="majorHAnsi" w:eastAsia="Times New Roman" w:hAnsiTheme="majorHAnsi"/>
        </w:rPr>
        <w:t xml:space="preserve"> art</w:t>
      </w:r>
      <w:r w:rsidR="008B0592" w:rsidRPr="00214E8E">
        <w:rPr>
          <w:rFonts w:asciiTheme="majorHAnsi" w:eastAsia="Times New Roman" w:hAnsiTheme="majorHAnsi"/>
        </w:rPr>
        <w:t xml:space="preserve"> </w:t>
      </w:r>
      <w:r w:rsidR="005B01B6" w:rsidRPr="00214E8E">
        <w:rPr>
          <w:rFonts w:asciiTheme="majorHAnsi" w:eastAsia="Times New Roman" w:hAnsiTheme="majorHAnsi"/>
        </w:rPr>
        <w:t>“</w:t>
      </w:r>
      <w:r w:rsidR="008B0592" w:rsidRPr="00214E8E">
        <w:rPr>
          <w:rFonts w:asciiTheme="majorHAnsi" w:eastAsia="Times New Roman" w:hAnsiTheme="majorHAnsi"/>
        </w:rPr>
        <w:t>is often a rhapsodic art, but still more is it at times an art of pure contemplation. And an art of pure contemplation is not easy to practise in this twentieth century of ours.</w:t>
      </w:r>
      <w:r w:rsidR="005B01B6" w:rsidRPr="00214E8E">
        <w:rPr>
          <w:rFonts w:asciiTheme="majorHAnsi" w:eastAsia="Times New Roman" w:hAnsiTheme="majorHAnsi"/>
        </w:rPr>
        <w:t>”</w:t>
      </w:r>
      <w:r w:rsidR="008B0592" w:rsidRPr="00214E8E">
        <w:rPr>
          <w:rStyle w:val="EndnoteReference"/>
          <w:rFonts w:asciiTheme="majorHAnsi" w:eastAsia="Times New Roman" w:hAnsiTheme="majorHAnsi"/>
        </w:rPr>
        <w:endnoteReference w:id="40"/>
      </w:r>
    </w:p>
    <w:p w:rsidR="00C71606" w:rsidRPr="00214E8E" w:rsidRDefault="00C71606" w:rsidP="002B5EBF">
      <w:pPr>
        <w:spacing w:line="480" w:lineRule="auto"/>
        <w:rPr>
          <w:rFonts w:asciiTheme="majorHAnsi" w:eastAsia="Times New Roman" w:hAnsiTheme="majorHAnsi"/>
        </w:rPr>
      </w:pPr>
    </w:p>
    <w:p w:rsidR="00B84170" w:rsidRPr="00214E8E" w:rsidRDefault="0084769A" w:rsidP="002B5EBF">
      <w:pPr>
        <w:spacing w:line="480" w:lineRule="auto"/>
        <w:rPr>
          <w:rFonts w:asciiTheme="majorHAnsi" w:eastAsia="Times New Roman" w:hAnsiTheme="majorHAnsi"/>
        </w:rPr>
      </w:pPr>
      <w:r w:rsidRPr="00214E8E">
        <w:rPr>
          <w:rFonts w:asciiTheme="majorHAnsi" w:eastAsia="Times New Roman" w:hAnsiTheme="majorHAnsi"/>
        </w:rPr>
        <w:t>5</w:t>
      </w:r>
    </w:p>
    <w:p w:rsidR="00030B48" w:rsidRDefault="00FE2E04" w:rsidP="002B5EBF">
      <w:pPr>
        <w:spacing w:line="480" w:lineRule="auto"/>
        <w:rPr>
          <w:rFonts w:asciiTheme="majorHAnsi" w:eastAsia="Times New Roman" w:hAnsiTheme="majorHAnsi"/>
        </w:rPr>
      </w:pPr>
      <w:r w:rsidRPr="00214E8E">
        <w:rPr>
          <w:rFonts w:asciiTheme="majorHAnsi" w:eastAsia="Times New Roman" w:hAnsiTheme="majorHAnsi"/>
        </w:rPr>
        <w:t xml:space="preserve">In this essay I have </w:t>
      </w:r>
      <w:r w:rsidR="00C25722" w:rsidRPr="00214E8E">
        <w:rPr>
          <w:rFonts w:asciiTheme="majorHAnsi" w:eastAsia="Times New Roman" w:hAnsiTheme="majorHAnsi"/>
        </w:rPr>
        <w:t>juxtapose</w:t>
      </w:r>
      <w:r w:rsidR="00030B48">
        <w:rPr>
          <w:rFonts w:asciiTheme="majorHAnsi" w:eastAsia="Times New Roman" w:hAnsiTheme="majorHAnsi"/>
        </w:rPr>
        <w:t>d</w:t>
      </w:r>
      <w:r w:rsidR="00852493" w:rsidRPr="00214E8E">
        <w:rPr>
          <w:rFonts w:asciiTheme="majorHAnsi" w:eastAsia="Times New Roman" w:hAnsiTheme="majorHAnsi"/>
        </w:rPr>
        <w:t xml:space="preserve"> some </w:t>
      </w:r>
      <w:r w:rsidR="008B0592" w:rsidRPr="00214E8E">
        <w:rPr>
          <w:rFonts w:asciiTheme="majorHAnsi" w:eastAsia="Times New Roman" w:hAnsiTheme="majorHAnsi"/>
        </w:rPr>
        <w:t xml:space="preserve">related things </w:t>
      </w:r>
      <w:r w:rsidR="00546141">
        <w:rPr>
          <w:rFonts w:asciiTheme="majorHAnsi" w:eastAsia="Times New Roman" w:hAnsiTheme="majorHAnsi"/>
        </w:rPr>
        <w:t xml:space="preserve">that were </w:t>
      </w:r>
      <w:r w:rsidRPr="00214E8E">
        <w:rPr>
          <w:rFonts w:asciiTheme="majorHAnsi" w:eastAsia="Times New Roman" w:hAnsiTheme="majorHAnsi"/>
        </w:rPr>
        <w:t xml:space="preserve">contemporaneous with Delius’ Dance for Harpsichord, </w:t>
      </w:r>
      <w:r w:rsidR="00852493" w:rsidRPr="00214E8E">
        <w:rPr>
          <w:rFonts w:asciiTheme="majorHAnsi" w:eastAsia="Times New Roman" w:hAnsiTheme="majorHAnsi"/>
        </w:rPr>
        <w:t xml:space="preserve">and </w:t>
      </w:r>
      <w:r w:rsidR="00C25722" w:rsidRPr="00214E8E">
        <w:rPr>
          <w:rFonts w:asciiTheme="majorHAnsi" w:eastAsia="Times New Roman" w:hAnsiTheme="majorHAnsi"/>
        </w:rPr>
        <w:t>set</w:t>
      </w:r>
      <w:r w:rsidR="00F31AEC" w:rsidRPr="00214E8E">
        <w:rPr>
          <w:rFonts w:asciiTheme="majorHAnsi" w:eastAsia="Times New Roman" w:hAnsiTheme="majorHAnsi"/>
        </w:rPr>
        <w:t xml:space="preserve"> in motion</w:t>
      </w:r>
      <w:r w:rsidR="00852493" w:rsidRPr="00214E8E">
        <w:rPr>
          <w:rFonts w:asciiTheme="majorHAnsi" w:eastAsia="Times New Roman" w:hAnsiTheme="majorHAnsi"/>
        </w:rPr>
        <w:t xml:space="preserve"> their </w:t>
      </w:r>
      <w:r w:rsidR="00C25722" w:rsidRPr="00214E8E">
        <w:rPr>
          <w:rFonts w:asciiTheme="majorHAnsi" w:eastAsia="Times New Roman" w:hAnsiTheme="majorHAnsi"/>
        </w:rPr>
        <w:t xml:space="preserve">various </w:t>
      </w:r>
      <w:r w:rsidR="00852493" w:rsidRPr="00214E8E">
        <w:rPr>
          <w:rFonts w:asciiTheme="majorHAnsi" w:eastAsia="Times New Roman" w:hAnsiTheme="majorHAnsi"/>
        </w:rPr>
        <w:t>interactions</w:t>
      </w:r>
      <w:r w:rsidR="008B0592" w:rsidRPr="00214E8E">
        <w:rPr>
          <w:rFonts w:asciiTheme="majorHAnsi" w:eastAsia="Times New Roman" w:hAnsiTheme="majorHAnsi"/>
        </w:rPr>
        <w:t>.</w:t>
      </w:r>
      <w:r w:rsidRPr="00214E8E">
        <w:rPr>
          <w:rFonts w:asciiTheme="majorHAnsi" w:eastAsia="Times New Roman" w:hAnsiTheme="majorHAnsi"/>
        </w:rPr>
        <w:t xml:space="preserve"> Much more could be said about, for example, the cultural significance of the </w:t>
      </w:r>
      <w:r w:rsidR="00546141">
        <w:rPr>
          <w:rFonts w:asciiTheme="majorHAnsi" w:eastAsia="Times New Roman" w:hAnsiTheme="majorHAnsi"/>
        </w:rPr>
        <w:t xml:space="preserve">fledging </w:t>
      </w:r>
      <w:r w:rsidRPr="00214E8E">
        <w:rPr>
          <w:rFonts w:asciiTheme="majorHAnsi" w:eastAsia="Times New Roman" w:hAnsiTheme="majorHAnsi"/>
        </w:rPr>
        <w:t xml:space="preserve">magazine </w:t>
      </w:r>
      <w:r w:rsidRPr="00214E8E">
        <w:rPr>
          <w:rFonts w:asciiTheme="majorHAnsi" w:eastAsia="Times New Roman" w:hAnsiTheme="majorHAnsi"/>
          <w:i/>
        </w:rPr>
        <w:t>Music and Letters</w:t>
      </w:r>
      <w:r w:rsidRPr="00214E8E">
        <w:rPr>
          <w:rFonts w:asciiTheme="majorHAnsi" w:eastAsia="Times New Roman" w:hAnsiTheme="majorHAnsi"/>
        </w:rPr>
        <w:t>; and there is some interesting work to be done on the manuscript materials for the Dance.</w:t>
      </w:r>
      <w:r w:rsidR="008B0592" w:rsidRPr="00214E8E">
        <w:rPr>
          <w:rFonts w:asciiTheme="majorHAnsi" w:eastAsia="Times New Roman" w:hAnsiTheme="majorHAnsi"/>
        </w:rPr>
        <w:t xml:space="preserve"> </w:t>
      </w:r>
      <w:r w:rsidRPr="00214E8E">
        <w:rPr>
          <w:rFonts w:asciiTheme="majorHAnsi" w:eastAsia="Times New Roman" w:hAnsiTheme="majorHAnsi"/>
        </w:rPr>
        <w:t>This said, however</w:t>
      </w:r>
      <w:r w:rsidR="00B84170" w:rsidRPr="00214E8E">
        <w:rPr>
          <w:rFonts w:asciiTheme="majorHAnsi" w:eastAsia="Times New Roman" w:hAnsiTheme="majorHAnsi"/>
        </w:rPr>
        <w:t xml:space="preserve">, I hope to have at least suggested that </w:t>
      </w:r>
      <w:r w:rsidRPr="00214E8E">
        <w:rPr>
          <w:rFonts w:asciiTheme="majorHAnsi" w:eastAsia="Times New Roman" w:hAnsiTheme="majorHAnsi"/>
        </w:rPr>
        <w:t xml:space="preserve">the quirky Dance deserves another listen; that </w:t>
      </w:r>
      <w:r w:rsidR="00B84170" w:rsidRPr="00214E8E">
        <w:rPr>
          <w:rFonts w:asciiTheme="majorHAnsi" w:eastAsia="Times New Roman" w:hAnsiTheme="majorHAnsi"/>
        </w:rPr>
        <w:t xml:space="preserve">there is a wealth of detail that remains to be explored in the </w:t>
      </w:r>
      <w:r w:rsidR="00F31AEC" w:rsidRPr="00214E8E">
        <w:rPr>
          <w:rFonts w:asciiTheme="majorHAnsi" w:eastAsia="Times New Roman" w:hAnsiTheme="majorHAnsi"/>
        </w:rPr>
        <w:t xml:space="preserve">minutiae of the </w:t>
      </w:r>
      <w:r w:rsidR="00B84170" w:rsidRPr="00214E8E">
        <w:rPr>
          <w:rFonts w:asciiTheme="majorHAnsi" w:eastAsia="Times New Roman" w:hAnsiTheme="majorHAnsi"/>
        </w:rPr>
        <w:t>reception history of Delius</w:t>
      </w:r>
      <w:r w:rsidR="005B01B6" w:rsidRPr="00214E8E">
        <w:rPr>
          <w:rFonts w:asciiTheme="majorHAnsi" w:eastAsia="Times New Roman" w:hAnsiTheme="majorHAnsi"/>
        </w:rPr>
        <w:t>’</w:t>
      </w:r>
      <w:r w:rsidRPr="00214E8E">
        <w:rPr>
          <w:rFonts w:asciiTheme="majorHAnsi" w:eastAsia="Times New Roman" w:hAnsiTheme="majorHAnsi"/>
        </w:rPr>
        <w:t xml:space="preserve"> music</w:t>
      </w:r>
      <w:r w:rsidR="00B84170" w:rsidRPr="00214E8E">
        <w:rPr>
          <w:rFonts w:asciiTheme="majorHAnsi" w:eastAsia="Times New Roman" w:hAnsiTheme="majorHAnsi"/>
        </w:rPr>
        <w:t>; and that a fuller picture of how Delius</w:t>
      </w:r>
      <w:r w:rsidR="005B01B6" w:rsidRPr="00214E8E">
        <w:rPr>
          <w:rFonts w:asciiTheme="majorHAnsi" w:eastAsia="Times New Roman" w:hAnsiTheme="majorHAnsi"/>
        </w:rPr>
        <w:t>’</w:t>
      </w:r>
      <w:r w:rsidR="00B84170" w:rsidRPr="00214E8E">
        <w:rPr>
          <w:rFonts w:asciiTheme="majorHAnsi" w:eastAsia="Times New Roman" w:hAnsiTheme="majorHAnsi"/>
        </w:rPr>
        <w:t xml:space="preserve"> </w:t>
      </w:r>
      <w:r w:rsidR="00F31AEC" w:rsidRPr="00214E8E">
        <w:rPr>
          <w:rFonts w:asciiTheme="majorHAnsi" w:eastAsia="Times New Roman" w:hAnsiTheme="majorHAnsi"/>
        </w:rPr>
        <w:t xml:space="preserve">own </w:t>
      </w:r>
      <w:r w:rsidR="00B84170" w:rsidRPr="00214E8E">
        <w:rPr>
          <w:rFonts w:asciiTheme="majorHAnsi" w:eastAsia="Times New Roman" w:hAnsiTheme="majorHAnsi"/>
        </w:rPr>
        <w:t xml:space="preserve">contemporaries understood his music is going to require </w:t>
      </w:r>
      <w:r w:rsidR="008B0592" w:rsidRPr="00214E8E">
        <w:rPr>
          <w:rFonts w:asciiTheme="majorHAnsi" w:eastAsia="Times New Roman" w:hAnsiTheme="majorHAnsi"/>
        </w:rPr>
        <w:t xml:space="preserve">a certain amount of </w:t>
      </w:r>
      <w:r w:rsidR="00B84170" w:rsidRPr="00214E8E">
        <w:rPr>
          <w:rFonts w:asciiTheme="majorHAnsi" w:eastAsia="Times New Roman" w:hAnsiTheme="majorHAnsi"/>
        </w:rPr>
        <w:t xml:space="preserve">archaeological digging around in the broader </w:t>
      </w:r>
      <w:r w:rsidR="008B0592" w:rsidRPr="00214E8E">
        <w:rPr>
          <w:rFonts w:asciiTheme="majorHAnsi" w:eastAsia="Times New Roman" w:hAnsiTheme="majorHAnsi"/>
        </w:rPr>
        <w:t xml:space="preserve">music-related </w:t>
      </w:r>
      <w:r w:rsidR="00B84170" w:rsidRPr="00214E8E">
        <w:rPr>
          <w:rFonts w:asciiTheme="majorHAnsi" w:eastAsia="Times New Roman" w:hAnsiTheme="majorHAnsi"/>
        </w:rPr>
        <w:t>literature of the period</w:t>
      </w:r>
      <w:r w:rsidR="00303A15" w:rsidRPr="00214E8E">
        <w:rPr>
          <w:rFonts w:asciiTheme="majorHAnsi" w:eastAsia="Times New Roman" w:hAnsiTheme="majorHAnsi"/>
        </w:rPr>
        <w:t xml:space="preserve"> (</w:t>
      </w:r>
      <w:r w:rsidRPr="00214E8E">
        <w:rPr>
          <w:rFonts w:asciiTheme="majorHAnsi" w:eastAsia="Times New Roman" w:hAnsiTheme="majorHAnsi"/>
        </w:rPr>
        <w:t xml:space="preserve">brilliantly </w:t>
      </w:r>
      <w:r w:rsidR="002E2047" w:rsidRPr="00214E8E">
        <w:rPr>
          <w:rFonts w:asciiTheme="majorHAnsi" w:eastAsia="Times New Roman" w:hAnsiTheme="majorHAnsi"/>
        </w:rPr>
        <w:t xml:space="preserve">modelled in </w:t>
      </w:r>
      <w:r w:rsidRPr="00214E8E">
        <w:rPr>
          <w:rFonts w:asciiTheme="majorHAnsi" w:eastAsia="Times New Roman" w:hAnsiTheme="majorHAnsi"/>
        </w:rPr>
        <w:t xml:space="preserve">Daniel </w:t>
      </w:r>
      <w:proofErr w:type="spellStart"/>
      <w:r w:rsidRPr="00214E8E">
        <w:rPr>
          <w:rFonts w:asciiTheme="majorHAnsi" w:eastAsia="Times New Roman" w:hAnsiTheme="majorHAnsi"/>
        </w:rPr>
        <w:t>Grimley</w:t>
      </w:r>
      <w:r w:rsidR="00303A15" w:rsidRPr="00214E8E">
        <w:rPr>
          <w:rFonts w:asciiTheme="majorHAnsi" w:eastAsia="Times New Roman" w:hAnsiTheme="majorHAnsi"/>
        </w:rPr>
        <w:t>’s</w:t>
      </w:r>
      <w:proofErr w:type="spellEnd"/>
      <w:r w:rsidR="00303A15" w:rsidRPr="00214E8E">
        <w:rPr>
          <w:rFonts w:asciiTheme="majorHAnsi" w:eastAsia="Times New Roman" w:hAnsiTheme="majorHAnsi"/>
        </w:rPr>
        <w:t xml:space="preserve"> work on the composer)</w:t>
      </w:r>
      <w:r w:rsidR="00030B48">
        <w:rPr>
          <w:rFonts w:asciiTheme="majorHAnsi" w:eastAsia="Times New Roman" w:hAnsiTheme="majorHAnsi"/>
        </w:rPr>
        <w:t>.</w:t>
      </w:r>
    </w:p>
    <w:p w:rsidR="00F004B0" w:rsidRPr="00214E8E" w:rsidRDefault="00406A5A" w:rsidP="00030B48">
      <w:pPr>
        <w:spacing w:line="480" w:lineRule="auto"/>
        <w:ind w:firstLine="720"/>
        <w:rPr>
          <w:rFonts w:asciiTheme="majorHAnsi" w:eastAsia="Times New Roman" w:hAnsiTheme="majorHAnsi" w:cs="Helvetica"/>
          <w:shd w:val="clear" w:color="auto" w:fill="FFFFFF"/>
        </w:rPr>
      </w:pPr>
      <w:r w:rsidRPr="00214E8E">
        <w:rPr>
          <w:rFonts w:asciiTheme="majorHAnsi" w:eastAsia="Times New Roman" w:hAnsiTheme="majorHAnsi"/>
        </w:rPr>
        <w:t xml:space="preserve">Doing </w:t>
      </w:r>
      <w:r w:rsidR="00030B48">
        <w:rPr>
          <w:rFonts w:asciiTheme="majorHAnsi" w:eastAsia="Times New Roman" w:hAnsiTheme="majorHAnsi"/>
        </w:rPr>
        <w:t>this</w:t>
      </w:r>
      <w:r w:rsidRPr="00214E8E">
        <w:rPr>
          <w:rFonts w:asciiTheme="majorHAnsi" w:eastAsia="Times New Roman" w:hAnsiTheme="majorHAnsi"/>
        </w:rPr>
        <w:t xml:space="preserve"> might help us </w:t>
      </w:r>
      <w:r w:rsidR="00852493" w:rsidRPr="00214E8E">
        <w:rPr>
          <w:rFonts w:asciiTheme="majorHAnsi" w:eastAsia="Times New Roman" w:hAnsiTheme="majorHAnsi"/>
        </w:rPr>
        <w:t xml:space="preserve">to make sense of </w:t>
      </w:r>
      <w:r w:rsidR="00C25722" w:rsidRPr="00214E8E">
        <w:rPr>
          <w:rFonts w:asciiTheme="majorHAnsi" w:eastAsia="Times New Roman" w:hAnsiTheme="majorHAnsi"/>
        </w:rPr>
        <w:t xml:space="preserve">certain </w:t>
      </w:r>
      <w:r w:rsidR="00852493" w:rsidRPr="00214E8E">
        <w:rPr>
          <w:rFonts w:asciiTheme="majorHAnsi" w:eastAsia="Times New Roman" w:hAnsiTheme="majorHAnsi"/>
        </w:rPr>
        <w:t>claims</w:t>
      </w:r>
      <w:r w:rsidR="00C25722" w:rsidRPr="00214E8E">
        <w:rPr>
          <w:rFonts w:asciiTheme="majorHAnsi" w:eastAsia="Times New Roman" w:hAnsiTheme="majorHAnsi"/>
        </w:rPr>
        <w:t>, such as</w:t>
      </w:r>
      <w:r w:rsidR="00852493" w:rsidRPr="00214E8E">
        <w:rPr>
          <w:rFonts w:asciiTheme="majorHAnsi" w:eastAsia="Times New Roman" w:hAnsiTheme="majorHAnsi"/>
        </w:rPr>
        <w:t xml:space="preserve"> the following</w:t>
      </w:r>
      <w:r w:rsidRPr="00214E8E">
        <w:rPr>
          <w:rFonts w:asciiTheme="majorHAnsi" w:eastAsia="Times New Roman" w:hAnsiTheme="majorHAnsi"/>
        </w:rPr>
        <w:t xml:space="preserve"> two </w:t>
      </w:r>
      <w:r w:rsidR="00C25722" w:rsidRPr="00214E8E">
        <w:rPr>
          <w:rFonts w:asciiTheme="majorHAnsi" w:eastAsia="Times New Roman" w:hAnsiTheme="majorHAnsi"/>
        </w:rPr>
        <w:t>examples of assertive ideology</w:t>
      </w:r>
      <w:r w:rsidR="00B84170" w:rsidRPr="00214E8E">
        <w:rPr>
          <w:rFonts w:asciiTheme="majorHAnsi" w:eastAsia="Times New Roman" w:hAnsiTheme="majorHAnsi"/>
        </w:rPr>
        <w:t>.</w:t>
      </w:r>
      <w:r w:rsidR="00852493" w:rsidRPr="00214E8E">
        <w:rPr>
          <w:rFonts w:asciiTheme="majorHAnsi" w:eastAsia="Times New Roman" w:hAnsiTheme="majorHAnsi"/>
        </w:rPr>
        <w:t xml:space="preserve"> </w:t>
      </w:r>
      <w:r w:rsidR="00C25722" w:rsidRPr="00214E8E">
        <w:rPr>
          <w:rFonts w:asciiTheme="majorHAnsi" w:eastAsia="Times New Roman" w:hAnsiTheme="majorHAnsi"/>
        </w:rPr>
        <w:t>First claim: in an introductory text in</w:t>
      </w:r>
      <w:r w:rsidRPr="00214E8E">
        <w:rPr>
          <w:rFonts w:asciiTheme="majorHAnsi" w:eastAsia="Times New Roman" w:hAnsiTheme="majorHAnsi"/>
        </w:rPr>
        <w:t xml:space="preserve"> 1915, Heseltine wrote about </w:t>
      </w:r>
      <w:r w:rsidR="005B01B6" w:rsidRPr="00214E8E">
        <w:rPr>
          <w:rFonts w:asciiTheme="majorHAnsi" w:eastAsia="Times New Roman" w:hAnsiTheme="majorHAnsi"/>
        </w:rPr>
        <w:t>“</w:t>
      </w:r>
      <w:r w:rsidRPr="00214E8E">
        <w:rPr>
          <w:rFonts w:asciiTheme="majorHAnsi" w:eastAsia="Times New Roman" w:hAnsiTheme="majorHAnsi"/>
        </w:rPr>
        <w:t>the almost complete absence of any other composer</w:t>
      </w:r>
      <w:r w:rsidR="005B01B6" w:rsidRPr="00214E8E">
        <w:rPr>
          <w:rFonts w:asciiTheme="majorHAnsi" w:eastAsia="Times New Roman" w:hAnsiTheme="majorHAnsi"/>
        </w:rPr>
        <w:t>’</w:t>
      </w:r>
      <w:r w:rsidRPr="00214E8E">
        <w:rPr>
          <w:rFonts w:asciiTheme="majorHAnsi" w:eastAsia="Times New Roman" w:hAnsiTheme="majorHAnsi"/>
        </w:rPr>
        <w:t>s influence</w:t>
      </w:r>
      <w:r w:rsidR="005B01B6" w:rsidRPr="00214E8E">
        <w:rPr>
          <w:rFonts w:asciiTheme="majorHAnsi" w:eastAsia="Times New Roman" w:hAnsiTheme="majorHAnsi"/>
        </w:rPr>
        <w:t>”</w:t>
      </w:r>
      <w:r w:rsidRPr="00214E8E">
        <w:rPr>
          <w:rFonts w:asciiTheme="majorHAnsi" w:eastAsia="Times New Roman" w:hAnsiTheme="majorHAnsi"/>
        </w:rPr>
        <w:t xml:space="preserve"> in Delius</w:t>
      </w:r>
      <w:r w:rsidR="005B01B6" w:rsidRPr="00214E8E">
        <w:rPr>
          <w:rFonts w:asciiTheme="majorHAnsi" w:eastAsia="Times New Roman" w:hAnsiTheme="majorHAnsi"/>
        </w:rPr>
        <w:t>’</w:t>
      </w:r>
      <w:r w:rsidRPr="00214E8E">
        <w:rPr>
          <w:rFonts w:asciiTheme="majorHAnsi" w:eastAsia="Times New Roman" w:hAnsiTheme="majorHAnsi"/>
        </w:rPr>
        <w:t xml:space="preserve"> music.</w:t>
      </w:r>
      <w:r w:rsidRPr="00214E8E">
        <w:rPr>
          <w:rStyle w:val="EndnoteReference"/>
          <w:rFonts w:asciiTheme="majorHAnsi" w:eastAsia="Times New Roman" w:hAnsiTheme="majorHAnsi"/>
        </w:rPr>
        <w:endnoteReference w:id="41"/>
      </w:r>
      <w:r w:rsidRPr="00214E8E">
        <w:rPr>
          <w:rFonts w:asciiTheme="majorHAnsi" w:eastAsia="Times New Roman" w:hAnsiTheme="majorHAnsi"/>
        </w:rPr>
        <w:t xml:space="preserve"> Second claim: in a review of the 1929 Delius Festival, </w:t>
      </w:r>
      <w:r w:rsidR="00852493" w:rsidRPr="00214E8E">
        <w:rPr>
          <w:rFonts w:asciiTheme="majorHAnsi" w:eastAsia="Times New Roman" w:hAnsiTheme="majorHAnsi"/>
        </w:rPr>
        <w:t xml:space="preserve">the music critic of </w:t>
      </w:r>
      <w:r w:rsidR="00852493" w:rsidRPr="00214E8E">
        <w:rPr>
          <w:rFonts w:asciiTheme="majorHAnsi" w:eastAsia="Times New Roman" w:hAnsiTheme="majorHAnsi"/>
          <w:i/>
        </w:rPr>
        <w:t>The Times</w:t>
      </w:r>
      <w:r w:rsidR="00C4517D" w:rsidRPr="00214E8E">
        <w:rPr>
          <w:rFonts w:asciiTheme="majorHAnsi" w:eastAsia="Times New Roman" w:hAnsiTheme="majorHAnsi"/>
        </w:rPr>
        <w:t xml:space="preserve">, Henry Cope </w:t>
      </w:r>
      <w:proofErr w:type="spellStart"/>
      <w:r w:rsidR="00C4517D" w:rsidRPr="00214E8E">
        <w:rPr>
          <w:rFonts w:asciiTheme="majorHAnsi" w:eastAsia="Times New Roman" w:hAnsiTheme="majorHAnsi"/>
        </w:rPr>
        <w:t>Colles</w:t>
      </w:r>
      <w:proofErr w:type="spellEnd"/>
      <w:r w:rsidR="00C4517D" w:rsidRPr="00214E8E">
        <w:rPr>
          <w:rFonts w:asciiTheme="majorHAnsi" w:eastAsia="Times New Roman" w:hAnsiTheme="majorHAnsi"/>
        </w:rPr>
        <w:t xml:space="preserve">, </w:t>
      </w:r>
      <w:r w:rsidRPr="00214E8E">
        <w:rPr>
          <w:rFonts w:asciiTheme="majorHAnsi" w:eastAsia="Times New Roman" w:hAnsiTheme="majorHAnsi"/>
        </w:rPr>
        <w:t>remark</w:t>
      </w:r>
      <w:r w:rsidR="00C25722" w:rsidRPr="00214E8E">
        <w:rPr>
          <w:rFonts w:asciiTheme="majorHAnsi" w:eastAsia="Times New Roman" w:hAnsiTheme="majorHAnsi"/>
        </w:rPr>
        <w:t>ed that</w:t>
      </w:r>
      <w:r w:rsidR="00852493" w:rsidRPr="00214E8E">
        <w:rPr>
          <w:rFonts w:asciiTheme="majorHAnsi" w:eastAsia="Times New Roman" w:hAnsiTheme="majorHAnsi"/>
        </w:rPr>
        <w:t xml:space="preserve"> Delius </w:t>
      </w:r>
      <w:r w:rsidR="005B01B6" w:rsidRPr="00214E8E">
        <w:rPr>
          <w:rFonts w:asciiTheme="majorHAnsi" w:eastAsia="Times New Roman" w:hAnsiTheme="majorHAnsi" w:cs="Helvetica"/>
          <w:shd w:val="clear" w:color="auto" w:fill="FFFFFF"/>
        </w:rPr>
        <w:t>“</w:t>
      </w:r>
      <w:r w:rsidR="00852493" w:rsidRPr="00214E8E">
        <w:rPr>
          <w:rFonts w:asciiTheme="majorHAnsi" w:eastAsia="Times New Roman" w:hAnsiTheme="majorHAnsi" w:cs="Helvetica"/>
          <w:shd w:val="clear" w:color="auto" w:fill="FFFFFF"/>
        </w:rPr>
        <w:t xml:space="preserve">belongs to no school, follows no </w:t>
      </w:r>
      <w:r w:rsidR="00852493" w:rsidRPr="00214E8E">
        <w:rPr>
          <w:rFonts w:asciiTheme="majorHAnsi" w:eastAsia="Times New Roman" w:hAnsiTheme="majorHAnsi" w:cs="Helvetica"/>
          <w:shd w:val="clear" w:color="auto" w:fill="FFFFFF"/>
        </w:rPr>
        <w:lastRenderedPageBreak/>
        <w:t>tradition and is like no other composer in the form, content or style of his music</w:t>
      </w:r>
      <w:r w:rsidR="005B01B6" w:rsidRPr="00214E8E">
        <w:rPr>
          <w:rFonts w:asciiTheme="majorHAnsi" w:eastAsia="Times New Roman" w:hAnsiTheme="majorHAnsi" w:cs="Helvetica"/>
          <w:shd w:val="clear" w:color="auto" w:fill="FFFFFF"/>
        </w:rPr>
        <w:t>”</w:t>
      </w:r>
      <w:r w:rsidR="00852493" w:rsidRPr="00214E8E">
        <w:rPr>
          <w:rFonts w:asciiTheme="majorHAnsi" w:eastAsia="Times New Roman" w:hAnsiTheme="majorHAnsi" w:cs="Helvetica"/>
          <w:shd w:val="clear" w:color="auto" w:fill="FFFFFF"/>
        </w:rPr>
        <w:t>.</w:t>
      </w:r>
      <w:r w:rsidR="00852493" w:rsidRPr="00214E8E">
        <w:rPr>
          <w:rStyle w:val="EndnoteReference"/>
          <w:rFonts w:asciiTheme="majorHAnsi" w:eastAsia="Times New Roman" w:hAnsiTheme="majorHAnsi" w:cs="Helvetica"/>
          <w:shd w:val="clear" w:color="auto" w:fill="FFFFFF"/>
        </w:rPr>
        <w:endnoteReference w:id="42"/>
      </w:r>
      <w:r w:rsidR="007B11AB" w:rsidRPr="00214E8E">
        <w:rPr>
          <w:rFonts w:asciiTheme="majorHAnsi" w:eastAsia="Times New Roman" w:hAnsiTheme="majorHAnsi" w:cs="Helvetica"/>
          <w:shd w:val="clear" w:color="auto" w:fill="FFFFFF"/>
        </w:rPr>
        <w:t xml:space="preserve"> </w:t>
      </w:r>
      <w:r w:rsidR="002E2047" w:rsidRPr="00214E8E">
        <w:rPr>
          <w:rFonts w:asciiTheme="majorHAnsi" w:eastAsia="Times New Roman" w:hAnsiTheme="majorHAnsi" w:cs="Helvetica"/>
          <w:shd w:val="clear" w:color="auto" w:fill="FFFFFF"/>
        </w:rPr>
        <w:t xml:space="preserve">Notwithstanding the fact that Heseltine’s comment was penned four years before Delius composed the Dance, </w:t>
      </w:r>
      <w:r w:rsidR="00F004B0" w:rsidRPr="00214E8E">
        <w:rPr>
          <w:rFonts w:asciiTheme="majorHAnsi" w:eastAsia="Times New Roman" w:hAnsiTheme="majorHAnsi" w:cs="Helvetica"/>
          <w:shd w:val="clear" w:color="auto" w:fill="FFFFFF"/>
        </w:rPr>
        <w:t xml:space="preserve">it seems to me that, </w:t>
      </w:r>
      <w:r w:rsidR="002E2047" w:rsidRPr="00214E8E">
        <w:rPr>
          <w:rFonts w:asciiTheme="majorHAnsi" w:eastAsia="Times New Roman" w:hAnsiTheme="majorHAnsi" w:cs="Helvetica"/>
          <w:shd w:val="clear" w:color="auto" w:fill="FFFFFF"/>
        </w:rPr>
        <w:t>t</w:t>
      </w:r>
      <w:r w:rsidR="007B11AB" w:rsidRPr="00214E8E">
        <w:rPr>
          <w:rFonts w:asciiTheme="majorHAnsi" w:eastAsia="Times New Roman" w:hAnsiTheme="majorHAnsi" w:cs="Helvetica"/>
          <w:shd w:val="clear" w:color="auto" w:fill="FFFFFF"/>
        </w:rPr>
        <w:t xml:space="preserve">o the extent that </w:t>
      </w:r>
      <w:r w:rsidRPr="00214E8E">
        <w:rPr>
          <w:rFonts w:asciiTheme="majorHAnsi" w:eastAsia="Times New Roman" w:hAnsiTheme="majorHAnsi" w:cs="Helvetica"/>
          <w:shd w:val="clear" w:color="auto" w:fill="FFFFFF"/>
        </w:rPr>
        <w:t xml:space="preserve">these </w:t>
      </w:r>
      <w:r w:rsidR="00C25722" w:rsidRPr="00214E8E">
        <w:rPr>
          <w:rFonts w:asciiTheme="majorHAnsi" w:eastAsia="Times New Roman" w:hAnsiTheme="majorHAnsi" w:cs="Helvetica"/>
          <w:shd w:val="clear" w:color="auto" w:fill="FFFFFF"/>
        </w:rPr>
        <w:t xml:space="preserve">kinds of </w:t>
      </w:r>
      <w:r w:rsidR="007B11AB" w:rsidRPr="00214E8E">
        <w:rPr>
          <w:rFonts w:asciiTheme="majorHAnsi" w:eastAsia="Times New Roman" w:hAnsiTheme="majorHAnsi" w:cs="Helvetica"/>
          <w:shd w:val="clear" w:color="auto" w:fill="FFFFFF"/>
        </w:rPr>
        <w:t>claim</w:t>
      </w:r>
      <w:r w:rsidRPr="00214E8E">
        <w:rPr>
          <w:rFonts w:asciiTheme="majorHAnsi" w:eastAsia="Times New Roman" w:hAnsiTheme="majorHAnsi" w:cs="Helvetica"/>
          <w:shd w:val="clear" w:color="auto" w:fill="FFFFFF"/>
        </w:rPr>
        <w:t xml:space="preserve">s </w:t>
      </w:r>
      <w:r w:rsidR="002E2047" w:rsidRPr="00214E8E">
        <w:rPr>
          <w:rFonts w:asciiTheme="majorHAnsi" w:eastAsia="Times New Roman" w:hAnsiTheme="majorHAnsi" w:cs="Helvetica"/>
          <w:shd w:val="clear" w:color="auto" w:fill="FFFFFF"/>
        </w:rPr>
        <w:t xml:space="preserve">– </w:t>
      </w:r>
      <w:r w:rsidR="00030B48">
        <w:rPr>
          <w:rFonts w:asciiTheme="majorHAnsi" w:eastAsia="Times New Roman" w:hAnsiTheme="majorHAnsi" w:cs="Helvetica"/>
          <w:shd w:val="clear" w:color="auto" w:fill="FFFFFF"/>
        </w:rPr>
        <w:t xml:space="preserve">several </w:t>
      </w:r>
      <w:r w:rsidR="002E2047" w:rsidRPr="00214E8E">
        <w:rPr>
          <w:rFonts w:asciiTheme="majorHAnsi" w:eastAsia="Times New Roman" w:hAnsiTheme="majorHAnsi" w:cs="Helvetica"/>
          <w:shd w:val="clear" w:color="auto" w:fill="FFFFFF"/>
        </w:rPr>
        <w:t xml:space="preserve">others could have been cited – </w:t>
      </w:r>
      <w:r w:rsidRPr="00214E8E">
        <w:rPr>
          <w:rFonts w:asciiTheme="majorHAnsi" w:eastAsia="Times New Roman" w:hAnsiTheme="majorHAnsi" w:cs="Helvetica"/>
          <w:shd w:val="clear" w:color="auto" w:fill="FFFFFF"/>
        </w:rPr>
        <w:t>are</w:t>
      </w:r>
      <w:r w:rsidR="007B11AB" w:rsidRPr="00214E8E">
        <w:rPr>
          <w:rFonts w:asciiTheme="majorHAnsi" w:eastAsia="Times New Roman" w:hAnsiTheme="majorHAnsi" w:cs="Helvetica"/>
          <w:shd w:val="clear" w:color="auto" w:fill="FFFFFF"/>
        </w:rPr>
        <w:t xml:space="preserve"> </w:t>
      </w:r>
      <w:r w:rsidR="00FE2E04" w:rsidRPr="00214E8E">
        <w:rPr>
          <w:rFonts w:asciiTheme="majorHAnsi" w:eastAsia="Times New Roman" w:hAnsiTheme="majorHAnsi" w:cs="Helvetica"/>
          <w:shd w:val="clear" w:color="auto" w:fill="FFFFFF"/>
        </w:rPr>
        <w:t xml:space="preserve">still today </w:t>
      </w:r>
      <w:r w:rsidRPr="00214E8E">
        <w:rPr>
          <w:rFonts w:asciiTheme="majorHAnsi" w:eastAsia="Times New Roman" w:hAnsiTheme="majorHAnsi" w:cs="Helvetica"/>
          <w:shd w:val="clear" w:color="auto" w:fill="FFFFFF"/>
        </w:rPr>
        <w:t xml:space="preserve">believed to be </w:t>
      </w:r>
      <w:r w:rsidR="007B11AB" w:rsidRPr="00214E8E">
        <w:rPr>
          <w:rFonts w:asciiTheme="majorHAnsi" w:eastAsia="Times New Roman" w:hAnsiTheme="majorHAnsi" w:cs="Helvetica"/>
          <w:shd w:val="clear" w:color="auto" w:fill="FFFFFF"/>
        </w:rPr>
        <w:t>true</w:t>
      </w:r>
      <w:r w:rsidR="00F35D15" w:rsidRPr="00214E8E">
        <w:rPr>
          <w:rFonts w:asciiTheme="majorHAnsi" w:eastAsia="Times New Roman" w:hAnsiTheme="majorHAnsi" w:cs="Helvetica"/>
          <w:shd w:val="clear" w:color="auto" w:fill="FFFFFF"/>
        </w:rPr>
        <w:t xml:space="preserve"> and “campaign” free (to borrow Percy Grainger’s </w:t>
      </w:r>
      <w:r w:rsidR="00FE2E04" w:rsidRPr="00214E8E">
        <w:rPr>
          <w:rFonts w:asciiTheme="majorHAnsi" w:eastAsia="Times New Roman" w:hAnsiTheme="majorHAnsi" w:cs="Helvetica"/>
          <w:shd w:val="clear" w:color="auto" w:fill="FFFFFF"/>
        </w:rPr>
        <w:t xml:space="preserve">felicitous </w:t>
      </w:r>
      <w:r w:rsidR="00F35D15" w:rsidRPr="00214E8E">
        <w:rPr>
          <w:rFonts w:asciiTheme="majorHAnsi" w:eastAsia="Times New Roman" w:hAnsiTheme="majorHAnsi" w:cs="Helvetica"/>
          <w:shd w:val="clear" w:color="auto" w:fill="FFFFFF"/>
        </w:rPr>
        <w:t>term)</w:t>
      </w:r>
      <w:r w:rsidRPr="00214E8E">
        <w:rPr>
          <w:rFonts w:asciiTheme="majorHAnsi" w:eastAsia="Times New Roman" w:hAnsiTheme="majorHAnsi" w:cs="Helvetica"/>
          <w:shd w:val="clear" w:color="auto" w:fill="FFFFFF"/>
        </w:rPr>
        <w:t>,</w:t>
      </w:r>
      <w:r w:rsidR="00F35D15" w:rsidRPr="00214E8E">
        <w:rPr>
          <w:rStyle w:val="EndnoteReference"/>
          <w:rFonts w:asciiTheme="majorHAnsi" w:eastAsia="Times New Roman" w:hAnsiTheme="majorHAnsi" w:cs="Helvetica"/>
          <w:shd w:val="clear" w:color="auto" w:fill="FFFFFF"/>
        </w:rPr>
        <w:endnoteReference w:id="43"/>
      </w:r>
      <w:r w:rsidRPr="00214E8E">
        <w:rPr>
          <w:rFonts w:asciiTheme="majorHAnsi" w:eastAsia="Times New Roman" w:hAnsiTheme="majorHAnsi" w:cs="Helvetica"/>
          <w:shd w:val="clear" w:color="auto" w:fill="FFFFFF"/>
        </w:rPr>
        <w:t xml:space="preserve"> and to the extent that</w:t>
      </w:r>
      <w:r w:rsidR="002E2047" w:rsidRPr="00214E8E">
        <w:rPr>
          <w:rFonts w:asciiTheme="majorHAnsi" w:eastAsia="Times New Roman" w:hAnsiTheme="majorHAnsi" w:cs="Helvetica"/>
          <w:shd w:val="clear" w:color="auto" w:fill="FFFFFF"/>
        </w:rPr>
        <w:t>, trapped within a Romanticist ideology of genius,</w:t>
      </w:r>
      <w:r w:rsidRPr="00214E8E">
        <w:rPr>
          <w:rFonts w:asciiTheme="majorHAnsi" w:eastAsia="Times New Roman" w:hAnsiTheme="majorHAnsi" w:cs="Helvetica"/>
          <w:shd w:val="clear" w:color="auto" w:fill="FFFFFF"/>
        </w:rPr>
        <w:t xml:space="preserve"> we </w:t>
      </w:r>
      <w:r w:rsidR="00FE2E04" w:rsidRPr="00214E8E">
        <w:rPr>
          <w:rFonts w:asciiTheme="majorHAnsi" w:eastAsia="Times New Roman" w:hAnsiTheme="majorHAnsi" w:cs="Helvetica"/>
          <w:shd w:val="clear" w:color="auto" w:fill="FFFFFF"/>
        </w:rPr>
        <w:t xml:space="preserve">insist on ignoring </w:t>
      </w:r>
      <w:r w:rsidRPr="00214E8E">
        <w:rPr>
          <w:rFonts w:asciiTheme="majorHAnsi" w:eastAsia="Times New Roman" w:hAnsiTheme="majorHAnsi" w:cs="Helvetica"/>
          <w:shd w:val="clear" w:color="auto" w:fill="FFFFFF"/>
        </w:rPr>
        <w:t xml:space="preserve">the </w:t>
      </w:r>
      <w:r w:rsidR="00030B48">
        <w:rPr>
          <w:rFonts w:asciiTheme="majorHAnsi" w:eastAsia="Times New Roman" w:hAnsiTheme="majorHAnsi" w:cs="Helvetica"/>
          <w:shd w:val="clear" w:color="auto" w:fill="FFFFFF"/>
        </w:rPr>
        <w:t xml:space="preserve">curious </w:t>
      </w:r>
      <w:r w:rsidRPr="00214E8E">
        <w:rPr>
          <w:rFonts w:asciiTheme="majorHAnsi" w:eastAsia="Times New Roman" w:hAnsiTheme="majorHAnsi" w:cs="Helvetica"/>
          <w:shd w:val="clear" w:color="auto" w:fill="FFFFFF"/>
        </w:rPr>
        <w:t>resonance</w:t>
      </w:r>
      <w:r w:rsidR="00030B48">
        <w:rPr>
          <w:rFonts w:asciiTheme="majorHAnsi" w:eastAsia="Times New Roman" w:hAnsiTheme="majorHAnsi" w:cs="Helvetica"/>
          <w:shd w:val="clear" w:color="auto" w:fill="FFFFFF"/>
        </w:rPr>
        <w:t>s</w:t>
      </w:r>
      <w:r w:rsidRPr="00214E8E">
        <w:rPr>
          <w:rFonts w:asciiTheme="majorHAnsi" w:eastAsia="Times New Roman" w:hAnsiTheme="majorHAnsi" w:cs="Helvetica"/>
          <w:shd w:val="clear" w:color="auto" w:fill="FFFFFF"/>
        </w:rPr>
        <w:t xml:space="preserve"> </w:t>
      </w:r>
      <w:r w:rsidR="00B8680F">
        <w:rPr>
          <w:rFonts w:asciiTheme="majorHAnsi" w:eastAsia="Times New Roman" w:hAnsiTheme="majorHAnsi" w:cs="Helvetica"/>
          <w:shd w:val="clear" w:color="auto" w:fill="FFFFFF"/>
        </w:rPr>
        <w:t xml:space="preserve">in Delius’ music </w:t>
      </w:r>
      <w:r w:rsidRPr="00214E8E">
        <w:rPr>
          <w:rFonts w:asciiTheme="majorHAnsi" w:eastAsia="Times New Roman" w:hAnsiTheme="majorHAnsi" w:cs="Helvetica"/>
          <w:shd w:val="clear" w:color="auto" w:fill="FFFFFF"/>
        </w:rPr>
        <w:t xml:space="preserve">with Ravel and others </w:t>
      </w:r>
      <w:bookmarkStart w:id="0" w:name="_GoBack"/>
      <w:bookmarkEnd w:id="0"/>
      <w:r w:rsidR="00B8680F">
        <w:rPr>
          <w:rFonts w:asciiTheme="majorHAnsi" w:eastAsia="Times New Roman" w:hAnsiTheme="majorHAnsi" w:cs="Helvetica"/>
          <w:shd w:val="clear" w:color="auto" w:fill="FFFFFF"/>
        </w:rPr>
        <w:t>beyond the usual suspects</w:t>
      </w:r>
      <w:r w:rsidR="007B11AB" w:rsidRPr="00214E8E">
        <w:rPr>
          <w:rFonts w:asciiTheme="majorHAnsi" w:eastAsia="Times New Roman" w:hAnsiTheme="majorHAnsi" w:cs="Helvetica"/>
          <w:shd w:val="clear" w:color="auto" w:fill="FFFFFF"/>
        </w:rPr>
        <w:t xml:space="preserve">, we </w:t>
      </w:r>
      <w:r w:rsidR="00F004B0" w:rsidRPr="00214E8E">
        <w:rPr>
          <w:rFonts w:asciiTheme="majorHAnsi" w:eastAsia="Times New Roman" w:hAnsiTheme="majorHAnsi" w:cs="Helvetica"/>
          <w:shd w:val="clear" w:color="auto" w:fill="FFFFFF"/>
        </w:rPr>
        <w:t>fail to apprehend the artistic significance of Delius’ music, we lag far behind its beauty (</w:t>
      </w:r>
      <w:r w:rsidR="00F004B0" w:rsidRPr="00214E8E">
        <w:rPr>
          <w:rFonts w:asciiTheme="majorHAnsi" w:eastAsia="Times New Roman" w:hAnsiTheme="majorHAnsi" w:cs="Helvetica"/>
          <w:i/>
          <w:shd w:val="clear" w:color="auto" w:fill="FFFFFF"/>
        </w:rPr>
        <w:t>pace</w:t>
      </w:r>
      <w:r w:rsidR="00F004B0" w:rsidRPr="00214E8E">
        <w:rPr>
          <w:rFonts w:asciiTheme="majorHAnsi" w:eastAsia="Times New Roman" w:hAnsiTheme="majorHAnsi" w:cs="Helvetica"/>
          <w:shd w:val="clear" w:color="auto" w:fill="FFFFFF"/>
        </w:rPr>
        <w:t xml:space="preserve"> Binyon: “her steps will be lost in the dew”), and </w:t>
      </w:r>
      <w:r w:rsidR="00C75407" w:rsidRPr="00214E8E">
        <w:rPr>
          <w:rFonts w:asciiTheme="majorHAnsi" w:eastAsia="Times New Roman" w:hAnsiTheme="majorHAnsi" w:cs="Helvetica"/>
          <w:shd w:val="clear" w:color="auto" w:fill="FFFFFF"/>
        </w:rPr>
        <w:t xml:space="preserve">we </w:t>
      </w:r>
      <w:r w:rsidR="007B11AB" w:rsidRPr="00214E8E">
        <w:rPr>
          <w:rFonts w:asciiTheme="majorHAnsi" w:eastAsia="Times New Roman" w:hAnsiTheme="majorHAnsi" w:cs="Helvetica"/>
          <w:shd w:val="clear" w:color="auto" w:fill="FFFFFF"/>
        </w:rPr>
        <w:t xml:space="preserve">remain in search of </w:t>
      </w:r>
      <w:r w:rsidR="005B01B6" w:rsidRPr="00214E8E">
        <w:rPr>
          <w:rFonts w:asciiTheme="majorHAnsi" w:eastAsia="Times New Roman" w:hAnsiTheme="majorHAnsi" w:cs="Helvetica"/>
          <w:shd w:val="clear" w:color="auto" w:fill="FFFFFF"/>
        </w:rPr>
        <w:t>“</w:t>
      </w:r>
      <w:r w:rsidR="007B11AB" w:rsidRPr="00214E8E">
        <w:rPr>
          <w:rFonts w:asciiTheme="majorHAnsi" w:eastAsia="Times New Roman" w:hAnsiTheme="majorHAnsi" w:cs="Helvetica"/>
          <w:shd w:val="clear" w:color="auto" w:fill="FFFFFF"/>
        </w:rPr>
        <w:t>Delius, whoever he may be</w:t>
      </w:r>
      <w:r w:rsidR="005B01B6" w:rsidRPr="00214E8E">
        <w:rPr>
          <w:rFonts w:asciiTheme="majorHAnsi" w:eastAsia="Times New Roman" w:hAnsiTheme="majorHAnsi" w:cs="Helvetica"/>
          <w:shd w:val="clear" w:color="auto" w:fill="FFFFFF"/>
        </w:rPr>
        <w:t>”</w:t>
      </w:r>
      <w:r w:rsidR="007B11AB" w:rsidRPr="00214E8E">
        <w:rPr>
          <w:rFonts w:asciiTheme="majorHAnsi" w:eastAsia="Times New Roman" w:hAnsiTheme="majorHAnsi" w:cs="Helvetica"/>
          <w:shd w:val="clear" w:color="auto" w:fill="FFFFFF"/>
        </w:rPr>
        <w:t>.</w:t>
      </w:r>
    </w:p>
    <w:sectPr w:rsidR="00F004B0" w:rsidRPr="00214E8E">
      <w:headerReference w:type="default" r:id="rId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3AB" w:rsidRDefault="005F23AB" w:rsidP="00937992">
      <w:r>
        <w:separator/>
      </w:r>
    </w:p>
  </w:endnote>
  <w:endnote w:type="continuationSeparator" w:id="0">
    <w:p w:rsidR="005F23AB" w:rsidRDefault="005F23AB" w:rsidP="00937992">
      <w:r>
        <w:continuationSeparator/>
      </w:r>
    </w:p>
  </w:endnote>
  <w:endnote w:id="1">
    <w:p w:rsidR="005F23AB" w:rsidRPr="003D12D2" w:rsidRDefault="005F23AB" w:rsidP="00FE2E04">
      <w:pPr>
        <w:pStyle w:val="EndnoteText"/>
        <w:rPr>
          <w:rFonts w:asciiTheme="majorHAnsi" w:hAnsiTheme="majorHAnsi"/>
          <w:iCs/>
          <w:sz w:val="24"/>
          <w:szCs w:val="24"/>
          <w:lang w:val="en"/>
        </w:rPr>
      </w:pPr>
      <w:r w:rsidRPr="003D12D2">
        <w:rPr>
          <w:rStyle w:val="EndnoteReference"/>
          <w:rFonts w:asciiTheme="majorHAnsi" w:hAnsiTheme="majorHAnsi"/>
          <w:sz w:val="24"/>
          <w:szCs w:val="24"/>
        </w:rPr>
        <w:endnoteRef/>
      </w:r>
      <w:r w:rsidRPr="003D12D2">
        <w:rPr>
          <w:rFonts w:asciiTheme="majorHAnsi" w:hAnsiTheme="majorHAnsi"/>
          <w:sz w:val="24"/>
          <w:szCs w:val="24"/>
        </w:rPr>
        <w:t xml:space="preserve"> </w:t>
      </w:r>
      <w:proofErr w:type="gramStart"/>
      <w:r w:rsidRPr="003D12D2">
        <w:rPr>
          <w:rFonts w:asciiTheme="majorHAnsi" w:hAnsiTheme="majorHAnsi"/>
          <w:sz w:val="24"/>
          <w:szCs w:val="24"/>
        </w:rPr>
        <w:t>Anon</w:t>
      </w:r>
      <w:r w:rsidRPr="003D12D2">
        <w:rPr>
          <w:rFonts w:asciiTheme="majorHAnsi" w:hAnsiTheme="majorHAnsi"/>
          <w:i/>
          <w:sz w:val="24"/>
          <w:szCs w:val="24"/>
        </w:rPr>
        <w:t xml:space="preserve">., </w:t>
      </w:r>
      <w:r w:rsidRPr="003D12D2">
        <w:rPr>
          <w:rStyle w:val="HTMLCite"/>
          <w:rFonts w:asciiTheme="majorHAnsi" w:hAnsiTheme="majorHAnsi"/>
          <w:i w:val="0"/>
          <w:sz w:val="24"/>
          <w:szCs w:val="24"/>
          <w:lang w:val="en"/>
        </w:rPr>
        <w:t>‘Foreign Notes’,</w:t>
      </w:r>
      <w:r w:rsidRPr="003D12D2">
        <w:rPr>
          <w:rStyle w:val="HTMLCite"/>
          <w:rFonts w:asciiTheme="majorHAnsi" w:hAnsiTheme="majorHAnsi"/>
          <w:sz w:val="24"/>
          <w:szCs w:val="24"/>
          <w:lang w:val="en"/>
        </w:rPr>
        <w:t xml:space="preserve"> The Musical Times and Singing Class Circular</w:t>
      </w:r>
      <w:r w:rsidRPr="003D12D2">
        <w:rPr>
          <w:rStyle w:val="HTMLCite"/>
          <w:rFonts w:asciiTheme="majorHAnsi" w:hAnsiTheme="majorHAnsi"/>
          <w:i w:val="0"/>
          <w:sz w:val="24"/>
          <w:szCs w:val="24"/>
          <w:lang w:val="en"/>
        </w:rPr>
        <w:t xml:space="preserve"> </w:t>
      </w:r>
      <w:r w:rsidRPr="003D12D2">
        <w:rPr>
          <w:rStyle w:val="HTMLCite"/>
          <w:rFonts w:asciiTheme="majorHAnsi" w:hAnsiTheme="majorHAnsi"/>
          <w:bCs/>
          <w:i w:val="0"/>
          <w:sz w:val="24"/>
          <w:szCs w:val="24"/>
          <w:lang w:val="en"/>
        </w:rPr>
        <w:t>35/614</w:t>
      </w:r>
      <w:r w:rsidRPr="003D12D2">
        <w:rPr>
          <w:rStyle w:val="HTMLCite"/>
          <w:rFonts w:asciiTheme="majorHAnsi" w:hAnsiTheme="majorHAnsi"/>
          <w:i w:val="0"/>
          <w:sz w:val="24"/>
          <w:szCs w:val="24"/>
          <w:lang w:val="en"/>
        </w:rPr>
        <w:t>: 266-67 (1 April 1894), pp. 266-267 at p. 266.</w:t>
      </w:r>
      <w:proofErr w:type="gramEnd"/>
      <w:r w:rsidRPr="003D12D2">
        <w:rPr>
          <w:rStyle w:val="HTMLCite"/>
          <w:rFonts w:asciiTheme="majorHAnsi" w:hAnsiTheme="majorHAnsi"/>
          <w:i w:val="0"/>
          <w:sz w:val="24"/>
          <w:szCs w:val="24"/>
          <w:lang w:val="en"/>
        </w:rPr>
        <w:t xml:space="preserve"> The exclamation mark is in the original.</w:t>
      </w:r>
    </w:p>
  </w:endnote>
  <w:endnote w:id="2">
    <w:p w:rsidR="005F23AB" w:rsidRPr="003D12D2" w:rsidRDefault="005F23AB" w:rsidP="00FE2E04">
      <w:pPr>
        <w:pStyle w:val="EndnoteText"/>
        <w:rPr>
          <w:rFonts w:asciiTheme="majorHAnsi" w:hAnsiTheme="majorHAnsi"/>
          <w:sz w:val="24"/>
          <w:szCs w:val="24"/>
        </w:rPr>
      </w:pPr>
      <w:r w:rsidRPr="003D12D2">
        <w:rPr>
          <w:rStyle w:val="EndnoteReference"/>
          <w:rFonts w:asciiTheme="majorHAnsi" w:hAnsiTheme="majorHAnsi"/>
          <w:sz w:val="24"/>
          <w:szCs w:val="24"/>
        </w:rPr>
        <w:endnoteRef/>
      </w:r>
      <w:r w:rsidRPr="003D12D2">
        <w:rPr>
          <w:rFonts w:asciiTheme="majorHAnsi" w:hAnsiTheme="majorHAnsi"/>
          <w:sz w:val="24"/>
          <w:szCs w:val="24"/>
        </w:rPr>
        <w:t xml:space="preserve"> Paul Spicer, </w:t>
      </w:r>
      <w:r w:rsidRPr="003D12D2">
        <w:rPr>
          <w:rFonts w:asciiTheme="majorHAnsi" w:hAnsiTheme="majorHAnsi"/>
          <w:i/>
          <w:sz w:val="24"/>
          <w:szCs w:val="24"/>
        </w:rPr>
        <w:t>George Dyson: His Life and Music</w:t>
      </w:r>
      <w:r w:rsidRPr="003D12D2">
        <w:rPr>
          <w:rFonts w:asciiTheme="majorHAnsi" w:hAnsiTheme="majorHAnsi"/>
          <w:sz w:val="24"/>
          <w:szCs w:val="24"/>
        </w:rPr>
        <w:t xml:space="preserve"> (Woodbridge: The Boydell Press, 2014), p. 129</w:t>
      </w:r>
    </w:p>
  </w:endnote>
  <w:endnote w:id="3">
    <w:p w:rsidR="005F23AB" w:rsidRPr="003D12D2" w:rsidRDefault="005F23AB" w:rsidP="00FE2E04">
      <w:pPr>
        <w:pStyle w:val="EndnoteText"/>
        <w:rPr>
          <w:rFonts w:asciiTheme="majorHAnsi" w:hAnsiTheme="majorHAnsi"/>
          <w:sz w:val="24"/>
          <w:szCs w:val="24"/>
        </w:rPr>
      </w:pPr>
      <w:r w:rsidRPr="003D12D2">
        <w:rPr>
          <w:rStyle w:val="EndnoteReference"/>
          <w:rFonts w:asciiTheme="majorHAnsi" w:hAnsiTheme="majorHAnsi"/>
          <w:sz w:val="24"/>
          <w:szCs w:val="24"/>
        </w:rPr>
        <w:endnoteRef/>
      </w:r>
      <w:r w:rsidRPr="003D12D2">
        <w:rPr>
          <w:rFonts w:asciiTheme="majorHAnsi" w:hAnsiTheme="majorHAnsi"/>
          <w:sz w:val="24"/>
          <w:szCs w:val="24"/>
        </w:rPr>
        <w:t xml:space="preserve"> </w:t>
      </w:r>
      <w:r w:rsidR="00627074">
        <w:rPr>
          <w:rFonts w:asciiTheme="majorHAnsi" w:hAnsiTheme="majorHAnsi"/>
          <w:sz w:val="24"/>
          <w:szCs w:val="24"/>
        </w:rPr>
        <w:t xml:space="preserve">Eric Fenby, foreword to The Published Writings of Philip Heseltine on Delius, </w:t>
      </w:r>
      <w:r w:rsidRPr="003D12D2">
        <w:rPr>
          <w:rFonts w:asciiTheme="majorHAnsi" w:hAnsiTheme="majorHAnsi"/>
          <w:i/>
          <w:sz w:val="24"/>
          <w:szCs w:val="24"/>
        </w:rPr>
        <w:t>The</w:t>
      </w:r>
      <w:r w:rsidRPr="003D12D2">
        <w:rPr>
          <w:rFonts w:asciiTheme="majorHAnsi" w:hAnsiTheme="majorHAnsi"/>
          <w:sz w:val="24"/>
          <w:szCs w:val="24"/>
        </w:rPr>
        <w:t xml:space="preserve"> </w:t>
      </w:r>
      <w:r w:rsidRPr="003D12D2">
        <w:rPr>
          <w:rFonts w:asciiTheme="majorHAnsi" w:hAnsiTheme="majorHAnsi"/>
          <w:i/>
          <w:sz w:val="24"/>
          <w:szCs w:val="24"/>
        </w:rPr>
        <w:t>Delius Society Journal</w:t>
      </w:r>
      <w:r w:rsidRPr="003D12D2">
        <w:rPr>
          <w:rFonts w:asciiTheme="majorHAnsi" w:hAnsiTheme="majorHAnsi"/>
          <w:sz w:val="24"/>
          <w:szCs w:val="24"/>
        </w:rPr>
        <w:t xml:space="preserve"> 94 (1987), </w:t>
      </w:r>
      <w:r w:rsidR="00627074" w:rsidRPr="00627074">
        <w:rPr>
          <w:rFonts w:asciiTheme="majorHAnsi" w:hAnsiTheme="majorHAnsi"/>
          <w:sz w:val="24"/>
          <w:szCs w:val="24"/>
        </w:rPr>
        <w:t>p</w:t>
      </w:r>
      <w:r w:rsidRPr="00627074">
        <w:rPr>
          <w:rFonts w:asciiTheme="majorHAnsi" w:hAnsiTheme="majorHAnsi"/>
          <w:sz w:val="24"/>
          <w:szCs w:val="24"/>
        </w:rPr>
        <w:t xml:space="preserve">. </w:t>
      </w:r>
      <w:r w:rsidR="00627074">
        <w:rPr>
          <w:rFonts w:asciiTheme="majorHAnsi" w:hAnsiTheme="majorHAnsi"/>
          <w:sz w:val="24"/>
          <w:szCs w:val="24"/>
        </w:rPr>
        <w:t>2</w:t>
      </w:r>
    </w:p>
  </w:endnote>
  <w:endnote w:id="4">
    <w:p w:rsidR="005F23AB" w:rsidRPr="003D12D2" w:rsidRDefault="005F23AB" w:rsidP="00FE2E04">
      <w:pPr>
        <w:pStyle w:val="EndnoteText"/>
        <w:rPr>
          <w:rFonts w:asciiTheme="majorHAnsi" w:hAnsiTheme="majorHAnsi"/>
          <w:sz w:val="24"/>
          <w:szCs w:val="24"/>
        </w:rPr>
      </w:pPr>
      <w:r w:rsidRPr="003D12D2">
        <w:rPr>
          <w:rStyle w:val="EndnoteReference"/>
          <w:rFonts w:asciiTheme="majorHAnsi" w:hAnsiTheme="majorHAnsi"/>
          <w:sz w:val="24"/>
          <w:szCs w:val="24"/>
        </w:rPr>
        <w:endnoteRef/>
      </w:r>
      <w:r w:rsidRPr="003D12D2">
        <w:rPr>
          <w:rFonts w:asciiTheme="majorHAnsi" w:hAnsiTheme="majorHAnsi"/>
          <w:sz w:val="24"/>
          <w:szCs w:val="24"/>
        </w:rPr>
        <w:t xml:space="preserve"> Special issue on ‘Philip Heseltine on Delius’, </w:t>
      </w:r>
      <w:r w:rsidRPr="003D12D2">
        <w:rPr>
          <w:rFonts w:asciiTheme="majorHAnsi" w:hAnsiTheme="majorHAnsi"/>
          <w:i/>
          <w:sz w:val="24"/>
          <w:szCs w:val="24"/>
        </w:rPr>
        <w:t>The Delius Society Journal</w:t>
      </w:r>
      <w:r w:rsidRPr="003D12D2">
        <w:rPr>
          <w:rFonts w:asciiTheme="majorHAnsi" w:hAnsiTheme="majorHAnsi"/>
          <w:sz w:val="24"/>
          <w:szCs w:val="24"/>
        </w:rPr>
        <w:t xml:space="preserve"> 94 (Autumn 1987)</w:t>
      </w:r>
    </w:p>
  </w:endnote>
  <w:endnote w:id="5">
    <w:p w:rsidR="005F23AB" w:rsidRPr="003D12D2" w:rsidRDefault="005F23AB" w:rsidP="00FE2E04">
      <w:pPr>
        <w:pStyle w:val="EndnoteText"/>
        <w:rPr>
          <w:rFonts w:asciiTheme="majorHAnsi" w:hAnsiTheme="majorHAnsi"/>
          <w:sz w:val="24"/>
          <w:szCs w:val="24"/>
        </w:rPr>
      </w:pPr>
      <w:r w:rsidRPr="003D12D2">
        <w:rPr>
          <w:rStyle w:val="EndnoteReference"/>
          <w:rFonts w:asciiTheme="majorHAnsi" w:hAnsiTheme="majorHAnsi"/>
          <w:sz w:val="24"/>
          <w:szCs w:val="24"/>
        </w:rPr>
        <w:endnoteRef/>
      </w:r>
      <w:r w:rsidRPr="003D12D2">
        <w:rPr>
          <w:rFonts w:asciiTheme="majorHAnsi" w:hAnsiTheme="majorHAnsi"/>
          <w:sz w:val="24"/>
          <w:szCs w:val="24"/>
        </w:rPr>
        <w:t xml:space="preserve"> Philip Heseltine, </w:t>
      </w:r>
      <w:r w:rsidRPr="003D12D2">
        <w:rPr>
          <w:rFonts w:asciiTheme="majorHAnsi" w:hAnsiTheme="majorHAnsi"/>
          <w:i/>
          <w:sz w:val="24"/>
          <w:szCs w:val="24"/>
        </w:rPr>
        <w:t>Delius</w:t>
      </w:r>
      <w:r w:rsidRPr="003D12D2">
        <w:rPr>
          <w:rFonts w:asciiTheme="majorHAnsi" w:hAnsiTheme="majorHAnsi"/>
          <w:sz w:val="24"/>
          <w:szCs w:val="24"/>
        </w:rPr>
        <w:t xml:space="preserve"> (London: John Lane, 1923), </w:t>
      </w:r>
      <w:r w:rsidRPr="003D12D2">
        <w:rPr>
          <w:rFonts w:asciiTheme="majorHAnsi" w:eastAsia="Times New Roman" w:hAnsiTheme="majorHAnsi"/>
          <w:sz w:val="24"/>
          <w:szCs w:val="24"/>
        </w:rPr>
        <w:t xml:space="preserve">quotations on respectively pp. 136, 136, 136, 143, Wordsworth’s Preface to his </w:t>
      </w:r>
      <w:r w:rsidRPr="003D12D2">
        <w:rPr>
          <w:rFonts w:asciiTheme="majorHAnsi" w:eastAsia="Times New Roman" w:hAnsiTheme="majorHAnsi"/>
          <w:i/>
          <w:sz w:val="24"/>
          <w:szCs w:val="24"/>
        </w:rPr>
        <w:t>Lyrical Ballads</w:t>
      </w:r>
      <w:r w:rsidRPr="003D12D2">
        <w:rPr>
          <w:rFonts w:asciiTheme="majorHAnsi" w:eastAsia="Times New Roman" w:hAnsiTheme="majorHAnsi"/>
          <w:sz w:val="24"/>
          <w:szCs w:val="24"/>
        </w:rPr>
        <w:t xml:space="preserve"> quoted pp. 151, 156</w:t>
      </w:r>
    </w:p>
  </w:endnote>
  <w:endnote w:id="6">
    <w:p w:rsidR="005F23AB" w:rsidRPr="003D12D2" w:rsidRDefault="005F23AB" w:rsidP="00FE2E04">
      <w:pPr>
        <w:pStyle w:val="EndnoteText"/>
        <w:rPr>
          <w:rFonts w:asciiTheme="majorHAnsi" w:hAnsiTheme="majorHAnsi"/>
          <w:sz w:val="24"/>
          <w:szCs w:val="24"/>
        </w:rPr>
      </w:pPr>
      <w:r w:rsidRPr="003D12D2">
        <w:rPr>
          <w:rStyle w:val="EndnoteReference"/>
          <w:rFonts w:asciiTheme="majorHAnsi" w:hAnsiTheme="majorHAnsi"/>
          <w:sz w:val="24"/>
          <w:szCs w:val="24"/>
        </w:rPr>
        <w:endnoteRef/>
      </w:r>
      <w:r w:rsidRPr="003D12D2">
        <w:rPr>
          <w:rFonts w:asciiTheme="majorHAnsi" w:hAnsiTheme="majorHAnsi"/>
          <w:sz w:val="24"/>
          <w:szCs w:val="24"/>
        </w:rPr>
        <w:t xml:space="preserve"> Spicer, </w:t>
      </w:r>
      <w:r w:rsidRPr="003D12D2">
        <w:rPr>
          <w:rFonts w:asciiTheme="majorHAnsi" w:hAnsiTheme="majorHAnsi"/>
          <w:i/>
          <w:sz w:val="24"/>
          <w:szCs w:val="24"/>
        </w:rPr>
        <w:t>George Dyson</w:t>
      </w:r>
      <w:r w:rsidRPr="003D12D2">
        <w:rPr>
          <w:rFonts w:asciiTheme="majorHAnsi" w:hAnsiTheme="majorHAnsi"/>
          <w:sz w:val="24"/>
          <w:szCs w:val="24"/>
        </w:rPr>
        <w:t>, pp. 127-129</w:t>
      </w:r>
    </w:p>
  </w:endnote>
  <w:endnote w:id="7">
    <w:p w:rsidR="005F23AB" w:rsidRPr="003D12D2" w:rsidRDefault="005F23AB" w:rsidP="00FE2E04">
      <w:pPr>
        <w:pStyle w:val="EndnoteText"/>
        <w:rPr>
          <w:rFonts w:asciiTheme="majorHAnsi" w:hAnsiTheme="majorHAnsi"/>
          <w:sz w:val="24"/>
          <w:szCs w:val="24"/>
        </w:rPr>
      </w:pPr>
      <w:r w:rsidRPr="003D12D2">
        <w:rPr>
          <w:rStyle w:val="EndnoteReference"/>
          <w:rFonts w:asciiTheme="majorHAnsi" w:hAnsiTheme="majorHAnsi"/>
          <w:sz w:val="24"/>
          <w:szCs w:val="24"/>
        </w:rPr>
        <w:endnoteRef/>
      </w:r>
      <w:r w:rsidRPr="003D12D2">
        <w:rPr>
          <w:rFonts w:asciiTheme="majorHAnsi" w:hAnsiTheme="majorHAnsi"/>
          <w:sz w:val="24"/>
          <w:szCs w:val="24"/>
        </w:rPr>
        <w:t xml:space="preserve"> Spicer, </w:t>
      </w:r>
      <w:r w:rsidRPr="003D12D2">
        <w:rPr>
          <w:rFonts w:asciiTheme="majorHAnsi" w:hAnsiTheme="majorHAnsi"/>
          <w:i/>
          <w:sz w:val="24"/>
          <w:szCs w:val="24"/>
        </w:rPr>
        <w:t>George Dyson</w:t>
      </w:r>
      <w:r w:rsidRPr="003D12D2">
        <w:rPr>
          <w:rFonts w:asciiTheme="majorHAnsi" w:hAnsiTheme="majorHAnsi"/>
          <w:sz w:val="24"/>
          <w:szCs w:val="24"/>
        </w:rPr>
        <w:t>, p. 120</w:t>
      </w:r>
    </w:p>
  </w:endnote>
  <w:endnote w:id="8">
    <w:p w:rsidR="005F23AB" w:rsidRPr="003D12D2" w:rsidRDefault="005F23AB" w:rsidP="00FE2E04">
      <w:pPr>
        <w:pStyle w:val="EndnoteText"/>
        <w:rPr>
          <w:rFonts w:asciiTheme="majorHAnsi" w:hAnsiTheme="majorHAnsi"/>
          <w:sz w:val="24"/>
          <w:szCs w:val="24"/>
        </w:rPr>
      </w:pPr>
      <w:r w:rsidRPr="003D12D2">
        <w:rPr>
          <w:rStyle w:val="EndnoteReference"/>
          <w:rFonts w:asciiTheme="majorHAnsi" w:hAnsiTheme="majorHAnsi"/>
          <w:sz w:val="24"/>
          <w:szCs w:val="24"/>
        </w:rPr>
        <w:endnoteRef/>
      </w:r>
      <w:r w:rsidRPr="003D12D2">
        <w:rPr>
          <w:rFonts w:asciiTheme="majorHAnsi" w:hAnsiTheme="majorHAnsi"/>
          <w:sz w:val="24"/>
          <w:szCs w:val="24"/>
        </w:rPr>
        <w:t xml:space="preserve"> George Dyson, </w:t>
      </w:r>
      <w:r w:rsidRPr="003D12D2">
        <w:rPr>
          <w:rFonts w:asciiTheme="majorHAnsi" w:hAnsiTheme="majorHAnsi"/>
          <w:i/>
          <w:sz w:val="24"/>
          <w:szCs w:val="24"/>
        </w:rPr>
        <w:t>The New Music</w:t>
      </w:r>
      <w:r w:rsidRPr="003D12D2">
        <w:rPr>
          <w:rFonts w:asciiTheme="majorHAnsi" w:hAnsiTheme="majorHAnsi"/>
          <w:sz w:val="24"/>
          <w:szCs w:val="24"/>
        </w:rPr>
        <w:t xml:space="preserve"> (London: Oxford University Press, 1924), pp. 66-67</w:t>
      </w:r>
    </w:p>
  </w:endnote>
  <w:endnote w:id="9">
    <w:p w:rsidR="005F23AB" w:rsidRPr="003D12D2" w:rsidRDefault="005F23AB" w:rsidP="00FE2E04">
      <w:pPr>
        <w:pStyle w:val="EndnoteText"/>
        <w:rPr>
          <w:rFonts w:asciiTheme="majorHAnsi" w:hAnsiTheme="majorHAnsi"/>
          <w:sz w:val="24"/>
          <w:szCs w:val="24"/>
        </w:rPr>
      </w:pPr>
      <w:r w:rsidRPr="003D12D2">
        <w:rPr>
          <w:rStyle w:val="EndnoteReference"/>
          <w:rFonts w:asciiTheme="majorHAnsi" w:hAnsiTheme="majorHAnsi"/>
          <w:sz w:val="24"/>
          <w:szCs w:val="24"/>
        </w:rPr>
        <w:endnoteRef/>
      </w:r>
      <w:r w:rsidRPr="003D12D2">
        <w:rPr>
          <w:rFonts w:asciiTheme="majorHAnsi" w:hAnsiTheme="majorHAnsi"/>
          <w:sz w:val="24"/>
          <w:szCs w:val="24"/>
        </w:rPr>
        <w:t xml:space="preserve"> Spicer, </w:t>
      </w:r>
      <w:r w:rsidRPr="003D12D2">
        <w:rPr>
          <w:rFonts w:asciiTheme="majorHAnsi" w:hAnsiTheme="majorHAnsi"/>
          <w:i/>
          <w:sz w:val="24"/>
          <w:szCs w:val="24"/>
        </w:rPr>
        <w:t>George Dyson</w:t>
      </w:r>
      <w:r w:rsidRPr="003D12D2">
        <w:rPr>
          <w:rFonts w:asciiTheme="majorHAnsi" w:hAnsiTheme="majorHAnsi"/>
          <w:sz w:val="24"/>
          <w:szCs w:val="24"/>
        </w:rPr>
        <w:t>, p. 212</w:t>
      </w:r>
    </w:p>
  </w:endnote>
  <w:endnote w:id="10">
    <w:p w:rsidR="005F23AB" w:rsidRPr="003D12D2" w:rsidRDefault="005F23AB" w:rsidP="00FE2E04">
      <w:pPr>
        <w:pStyle w:val="EndnoteText"/>
        <w:rPr>
          <w:rFonts w:asciiTheme="majorHAnsi" w:hAnsiTheme="majorHAnsi"/>
          <w:sz w:val="24"/>
          <w:szCs w:val="24"/>
        </w:rPr>
      </w:pPr>
      <w:r w:rsidRPr="003D12D2">
        <w:rPr>
          <w:rStyle w:val="EndnoteReference"/>
          <w:rFonts w:asciiTheme="majorHAnsi" w:hAnsiTheme="majorHAnsi"/>
          <w:sz w:val="24"/>
          <w:szCs w:val="24"/>
        </w:rPr>
        <w:endnoteRef/>
      </w:r>
      <w:r w:rsidRPr="003D12D2">
        <w:rPr>
          <w:rFonts w:asciiTheme="majorHAnsi" w:hAnsiTheme="majorHAnsi"/>
          <w:sz w:val="24"/>
          <w:szCs w:val="24"/>
        </w:rPr>
        <w:t xml:space="preserve"> Dyson, </w:t>
      </w:r>
      <w:r w:rsidRPr="003D12D2">
        <w:rPr>
          <w:rFonts w:asciiTheme="majorHAnsi" w:hAnsiTheme="majorHAnsi"/>
          <w:i/>
          <w:sz w:val="24"/>
          <w:szCs w:val="24"/>
        </w:rPr>
        <w:t>The New Music</w:t>
      </w:r>
      <w:r w:rsidRPr="003D12D2">
        <w:rPr>
          <w:rFonts w:asciiTheme="majorHAnsi" w:hAnsiTheme="majorHAnsi"/>
          <w:sz w:val="24"/>
          <w:szCs w:val="24"/>
        </w:rPr>
        <w:t xml:space="preserve">, </w:t>
      </w:r>
      <w:r w:rsidRPr="003D12D2">
        <w:rPr>
          <w:rFonts w:asciiTheme="majorHAnsi" w:eastAsia="Times New Roman" w:hAnsiTheme="majorHAnsi"/>
          <w:sz w:val="24"/>
          <w:szCs w:val="24"/>
        </w:rPr>
        <w:t>quotations on respectively 144, 145, 145, 146</w:t>
      </w:r>
    </w:p>
  </w:endnote>
  <w:endnote w:id="11">
    <w:p w:rsidR="005F23AB" w:rsidRPr="003D12D2" w:rsidRDefault="005F23AB" w:rsidP="005F23AB">
      <w:pPr>
        <w:pStyle w:val="EndnoteText"/>
        <w:rPr>
          <w:rFonts w:asciiTheme="majorHAnsi" w:hAnsiTheme="majorHAnsi"/>
          <w:sz w:val="24"/>
          <w:szCs w:val="24"/>
        </w:rPr>
      </w:pPr>
      <w:r w:rsidRPr="003D12D2">
        <w:rPr>
          <w:rStyle w:val="EndnoteReference"/>
          <w:rFonts w:asciiTheme="majorHAnsi" w:hAnsiTheme="majorHAnsi"/>
          <w:sz w:val="24"/>
          <w:szCs w:val="24"/>
        </w:rPr>
        <w:endnoteRef/>
      </w:r>
      <w:r w:rsidRPr="003D12D2">
        <w:rPr>
          <w:rFonts w:asciiTheme="majorHAnsi" w:hAnsiTheme="majorHAnsi"/>
          <w:sz w:val="24"/>
          <w:szCs w:val="24"/>
        </w:rPr>
        <w:t xml:space="preserve"> Arthur Clutton-Brock, ‘On Listening to Music’, </w:t>
      </w:r>
      <w:r w:rsidRPr="003D12D2">
        <w:rPr>
          <w:rFonts w:asciiTheme="majorHAnsi" w:hAnsiTheme="majorHAnsi"/>
          <w:i/>
          <w:sz w:val="24"/>
          <w:szCs w:val="24"/>
        </w:rPr>
        <w:t>Music and Letters</w:t>
      </w:r>
      <w:r w:rsidRPr="003D12D2">
        <w:rPr>
          <w:rFonts w:asciiTheme="majorHAnsi" w:hAnsiTheme="majorHAnsi"/>
          <w:sz w:val="24"/>
          <w:szCs w:val="24"/>
        </w:rPr>
        <w:t xml:space="preserve"> 1/1 (January 1920), pp. 12-18</w:t>
      </w:r>
    </w:p>
  </w:endnote>
  <w:endnote w:id="12">
    <w:p w:rsidR="005F23AB" w:rsidRPr="003D12D2" w:rsidRDefault="005F23AB" w:rsidP="003D12D2">
      <w:pPr>
        <w:pStyle w:val="EndnoteText"/>
        <w:rPr>
          <w:rFonts w:asciiTheme="majorHAnsi" w:hAnsiTheme="majorHAnsi"/>
          <w:sz w:val="24"/>
          <w:szCs w:val="24"/>
        </w:rPr>
      </w:pPr>
      <w:r w:rsidRPr="003D12D2">
        <w:rPr>
          <w:rStyle w:val="EndnoteReference"/>
          <w:rFonts w:asciiTheme="majorHAnsi" w:hAnsiTheme="majorHAnsi"/>
          <w:sz w:val="24"/>
          <w:szCs w:val="24"/>
        </w:rPr>
        <w:endnoteRef/>
      </w:r>
      <w:r w:rsidRPr="003D12D2">
        <w:rPr>
          <w:rFonts w:asciiTheme="majorHAnsi" w:hAnsiTheme="majorHAnsi"/>
          <w:sz w:val="24"/>
          <w:szCs w:val="24"/>
        </w:rPr>
        <w:t xml:space="preserve"> Respectively, all in </w:t>
      </w:r>
      <w:r w:rsidRPr="003D12D2">
        <w:rPr>
          <w:rFonts w:asciiTheme="majorHAnsi" w:hAnsiTheme="majorHAnsi"/>
          <w:i/>
          <w:sz w:val="24"/>
          <w:szCs w:val="24"/>
        </w:rPr>
        <w:t>Music and Letters</w:t>
      </w:r>
      <w:r w:rsidRPr="003D12D2">
        <w:rPr>
          <w:rFonts w:asciiTheme="majorHAnsi" w:hAnsiTheme="majorHAnsi"/>
          <w:sz w:val="24"/>
          <w:szCs w:val="24"/>
        </w:rPr>
        <w:t xml:space="preserve"> 1/1 (January 1920): George Bernard Shaw, ‘Sir Edward Elgar’, pp. 7-11; Sydney H. Nicholson, ‘Music in Country Churches’, pp. 27-34; Laurence Binyon, ‘The Shyness of Beauty’, p. 6 [sic]; Harry Plunket Greene, ‘The Future of the English Song. I. The Singer and the Public’, pp. 19-26; Violet Gordon-Woodhouse, </w:t>
      </w:r>
      <w:r w:rsidRPr="003D12D2">
        <w:rPr>
          <w:rFonts w:asciiTheme="majorHAnsi" w:eastAsia="Times New Roman" w:hAnsiTheme="majorHAnsi"/>
          <w:sz w:val="24"/>
          <w:szCs w:val="24"/>
        </w:rPr>
        <w:t>‘Old Keyed Instruments and their Music’, pp. 45-51</w:t>
      </w:r>
    </w:p>
  </w:endnote>
  <w:endnote w:id="13">
    <w:p w:rsidR="005F23AB" w:rsidRPr="003D12D2" w:rsidRDefault="005F23AB" w:rsidP="00FE2E04">
      <w:pPr>
        <w:pStyle w:val="EndnoteText"/>
        <w:rPr>
          <w:rFonts w:asciiTheme="majorHAnsi" w:hAnsiTheme="majorHAnsi"/>
          <w:sz w:val="24"/>
          <w:szCs w:val="24"/>
        </w:rPr>
      </w:pPr>
      <w:r w:rsidRPr="003D12D2">
        <w:rPr>
          <w:rStyle w:val="EndnoteReference"/>
          <w:rFonts w:asciiTheme="majorHAnsi" w:hAnsiTheme="majorHAnsi"/>
          <w:sz w:val="24"/>
          <w:szCs w:val="24"/>
        </w:rPr>
        <w:endnoteRef/>
      </w:r>
      <w:r w:rsidRPr="003D12D2">
        <w:rPr>
          <w:rFonts w:asciiTheme="majorHAnsi" w:hAnsiTheme="majorHAnsi"/>
          <w:sz w:val="24"/>
          <w:szCs w:val="24"/>
        </w:rPr>
        <w:t xml:space="preserve"> Letter Frederick Delius to Philip Heseltine, in Lionel Carley (ed.), </w:t>
      </w:r>
      <w:r w:rsidRPr="003D12D2">
        <w:rPr>
          <w:rFonts w:asciiTheme="majorHAnsi" w:hAnsiTheme="majorHAnsi"/>
          <w:i/>
          <w:sz w:val="24"/>
          <w:szCs w:val="24"/>
        </w:rPr>
        <w:t>Delius: A Life in Letters II 1909-1934</w:t>
      </w:r>
      <w:r w:rsidRPr="003D12D2">
        <w:rPr>
          <w:rFonts w:asciiTheme="majorHAnsi" w:hAnsiTheme="majorHAnsi"/>
          <w:sz w:val="24"/>
          <w:szCs w:val="24"/>
        </w:rPr>
        <w:t xml:space="preserve"> (Aldershot: Scholar Press in association with the Delius Trust, 1988), pp. 229-230</w:t>
      </w:r>
    </w:p>
  </w:endnote>
  <w:endnote w:id="14">
    <w:p w:rsidR="005F23AB" w:rsidRPr="003D12D2" w:rsidRDefault="005F23AB" w:rsidP="00FE2E04">
      <w:pPr>
        <w:pStyle w:val="EndnoteText"/>
        <w:rPr>
          <w:rFonts w:asciiTheme="majorHAnsi" w:hAnsiTheme="majorHAnsi"/>
          <w:sz w:val="24"/>
          <w:szCs w:val="24"/>
        </w:rPr>
      </w:pPr>
      <w:r w:rsidRPr="003D12D2">
        <w:rPr>
          <w:rStyle w:val="EndnoteReference"/>
          <w:rFonts w:asciiTheme="majorHAnsi" w:hAnsiTheme="majorHAnsi"/>
          <w:sz w:val="24"/>
          <w:szCs w:val="24"/>
        </w:rPr>
        <w:endnoteRef/>
      </w:r>
      <w:r w:rsidRPr="003D12D2">
        <w:rPr>
          <w:rFonts w:asciiTheme="majorHAnsi" w:hAnsiTheme="majorHAnsi"/>
          <w:sz w:val="24"/>
          <w:szCs w:val="24"/>
        </w:rPr>
        <w:t xml:space="preserve"> Sarah Collins, ‘“Never out of date and never modern”: Aesthetic democracy, radical music criticism, and ‘The Sackbut’’, </w:t>
      </w:r>
      <w:r w:rsidRPr="003D12D2">
        <w:rPr>
          <w:rFonts w:asciiTheme="majorHAnsi" w:hAnsiTheme="majorHAnsi"/>
          <w:i/>
          <w:sz w:val="24"/>
          <w:szCs w:val="24"/>
        </w:rPr>
        <w:t>Music and Letters</w:t>
      </w:r>
      <w:r w:rsidRPr="003D12D2">
        <w:rPr>
          <w:rFonts w:asciiTheme="majorHAnsi" w:hAnsiTheme="majorHAnsi"/>
          <w:sz w:val="24"/>
          <w:szCs w:val="24"/>
        </w:rPr>
        <w:t xml:space="preserve"> 95/3 (2014), pp. 404-428</w:t>
      </w:r>
    </w:p>
  </w:endnote>
  <w:endnote w:id="15">
    <w:p w:rsidR="005F23AB" w:rsidRPr="003D12D2" w:rsidRDefault="005F23AB" w:rsidP="00FE2E04">
      <w:pPr>
        <w:pStyle w:val="EndnoteText"/>
        <w:rPr>
          <w:rFonts w:asciiTheme="majorHAnsi" w:hAnsiTheme="majorHAnsi"/>
          <w:sz w:val="24"/>
          <w:szCs w:val="24"/>
        </w:rPr>
      </w:pPr>
      <w:r w:rsidRPr="003D12D2">
        <w:rPr>
          <w:rStyle w:val="EndnoteReference"/>
          <w:rFonts w:asciiTheme="majorHAnsi" w:hAnsiTheme="majorHAnsi"/>
          <w:sz w:val="24"/>
          <w:szCs w:val="24"/>
        </w:rPr>
        <w:endnoteRef/>
      </w:r>
      <w:r w:rsidRPr="003D12D2">
        <w:rPr>
          <w:rFonts w:asciiTheme="majorHAnsi" w:hAnsiTheme="majorHAnsi"/>
          <w:sz w:val="24"/>
          <w:szCs w:val="24"/>
        </w:rPr>
        <w:t xml:space="preserve"> Robert Montgomery &amp; Robert Threlfall, </w:t>
      </w:r>
      <w:r w:rsidRPr="003D12D2">
        <w:rPr>
          <w:rFonts w:asciiTheme="majorHAnsi" w:hAnsiTheme="majorHAnsi"/>
          <w:i/>
          <w:sz w:val="24"/>
          <w:szCs w:val="24"/>
        </w:rPr>
        <w:t>Music and Copyright: The Case of Delius and his Publishers</w:t>
      </w:r>
      <w:r w:rsidRPr="003D12D2">
        <w:rPr>
          <w:rFonts w:asciiTheme="majorHAnsi" w:hAnsiTheme="majorHAnsi"/>
          <w:sz w:val="24"/>
          <w:szCs w:val="24"/>
        </w:rPr>
        <w:t xml:space="preserve"> (Farnham: Ashgate, 2007), pp. 156, 164, 166 n 31</w:t>
      </w:r>
    </w:p>
  </w:endnote>
  <w:endnote w:id="16">
    <w:p w:rsidR="005F23AB" w:rsidRPr="003D12D2" w:rsidRDefault="005F23AB" w:rsidP="00FE2E04">
      <w:pPr>
        <w:pStyle w:val="Heading1"/>
        <w:spacing w:before="0"/>
        <w:rPr>
          <w:rFonts w:cs="Arial"/>
          <w:b w:val="0"/>
          <w:color w:val="auto"/>
          <w:sz w:val="24"/>
          <w:szCs w:val="24"/>
        </w:rPr>
      </w:pPr>
      <w:r w:rsidRPr="003D12D2">
        <w:rPr>
          <w:rStyle w:val="EndnoteReference"/>
          <w:b w:val="0"/>
          <w:color w:val="auto"/>
          <w:sz w:val="24"/>
          <w:szCs w:val="24"/>
        </w:rPr>
        <w:endnoteRef/>
      </w:r>
      <w:r w:rsidRPr="003D12D2">
        <w:rPr>
          <w:b w:val="0"/>
          <w:color w:val="auto"/>
          <w:sz w:val="24"/>
          <w:szCs w:val="24"/>
        </w:rPr>
        <w:t xml:space="preserve"> </w:t>
      </w:r>
      <w:r w:rsidRPr="003D12D2">
        <w:rPr>
          <w:rStyle w:val="addmd1"/>
          <w:rFonts w:cs="Arial"/>
          <w:b w:val="0"/>
          <w:color w:val="auto"/>
          <w:sz w:val="24"/>
          <w:szCs w:val="24"/>
        </w:rPr>
        <w:t>Martin Lee-Browne, Paul Guinery, &amp; Mark Elder</w:t>
      </w:r>
      <w:r w:rsidRPr="003D12D2">
        <w:rPr>
          <w:rFonts w:cs="Arial"/>
          <w:b w:val="0"/>
          <w:color w:val="auto"/>
          <w:sz w:val="24"/>
          <w:szCs w:val="24"/>
        </w:rPr>
        <w:t xml:space="preserve">, </w:t>
      </w:r>
      <w:r w:rsidRPr="003D12D2">
        <w:rPr>
          <w:rFonts w:cs="Arial"/>
          <w:b w:val="0"/>
          <w:i/>
          <w:color w:val="auto"/>
          <w:sz w:val="24"/>
          <w:szCs w:val="24"/>
        </w:rPr>
        <w:t>Delius and his Music</w:t>
      </w:r>
      <w:r w:rsidRPr="003D12D2">
        <w:rPr>
          <w:rFonts w:cs="Arial"/>
          <w:b w:val="0"/>
          <w:color w:val="auto"/>
          <w:sz w:val="24"/>
          <w:szCs w:val="24"/>
        </w:rPr>
        <w:t xml:space="preserve">, pp. 397-398. </w:t>
      </w:r>
      <w:r w:rsidRPr="003D12D2">
        <w:rPr>
          <w:b w:val="0"/>
          <w:color w:val="auto"/>
          <w:sz w:val="24"/>
          <w:szCs w:val="24"/>
        </w:rPr>
        <w:t xml:space="preserve">Carley (ed.), </w:t>
      </w:r>
      <w:r w:rsidRPr="003D12D2">
        <w:rPr>
          <w:b w:val="0"/>
          <w:i/>
          <w:color w:val="auto"/>
          <w:sz w:val="24"/>
          <w:szCs w:val="24"/>
        </w:rPr>
        <w:t>Delius: A Life in Letters II</w:t>
      </w:r>
      <w:r w:rsidRPr="003D12D2">
        <w:rPr>
          <w:b w:val="0"/>
          <w:color w:val="auto"/>
          <w:sz w:val="24"/>
          <w:szCs w:val="24"/>
        </w:rPr>
        <w:t>, p. 217</w:t>
      </w:r>
    </w:p>
  </w:endnote>
  <w:endnote w:id="17">
    <w:p w:rsidR="005F23AB" w:rsidRPr="003D12D2" w:rsidRDefault="005F23AB" w:rsidP="00FE2E04">
      <w:pPr>
        <w:pStyle w:val="EndnoteText"/>
        <w:rPr>
          <w:rFonts w:asciiTheme="majorHAnsi" w:hAnsiTheme="majorHAnsi"/>
          <w:sz w:val="24"/>
          <w:szCs w:val="24"/>
        </w:rPr>
      </w:pPr>
      <w:r w:rsidRPr="003D12D2">
        <w:rPr>
          <w:rStyle w:val="EndnoteReference"/>
          <w:rFonts w:asciiTheme="majorHAnsi" w:hAnsiTheme="majorHAnsi"/>
          <w:sz w:val="24"/>
          <w:szCs w:val="24"/>
        </w:rPr>
        <w:endnoteRef/>
      </w:r>
      <w:r w:rsidRPr="003D12D2">
        <w:rPr>
          <w:rFonts w:asciiTheme="majorHAnsi" w:hAnsiTheme="majorHAnsi"/>
          <w:sz w:val="24"/>
          <w:szCs w:val="24"/>
        </w:rPr>
        <w:t xml:space="preserve"> Letter Frederick Delius to Philip Heseltine, in Carley (ed.), </w:t>
      </w:r>
      <w:r w:rsidRPr="003D12D2">
        <w:rPr>
          <w:rFonts w:asciiTheme="majorHAnsi" w:hAnsiTheme="majorHAnsi"/>
          <w:i/>
          <w:sz w:val="24"/>
          <w:szCs w:val="24"/>
        </w:rPr>
        <w:t>Delius: A Life in Letters II</w:t>
      </w:r>
      <w:r w:rsidRPr="003D12D2">
        <w:rPr>
          <w:rFonts w:asciiTheme="majorHAnsi" w:hAnsiTheme="majorHAnsi"/>
          <w:sz w:val="24"/>
          <w:szCs w:val="24"/>
        </w:rPr>
        <w:t>, p. 218</w:t>
      </w:r>
    </w:p>
  </w:endnote>
  <w:endnote w:id="18">
    <w:p w:rsidR="005F23AB" w:rsidRPr="003D12D2" w:rsidRDefault="005F23AB" w:rsidP="00FE2E04">
      <w:pPr>
        <w:pStyle w:val="EndnoteText"/>
        <w:rPr>
          <w:rFonts w:asciiTheme="majorHAnsi" w:hAnsiTheme="majorHAnsi"/>
          <w:sz w:val="24"/>
          <w:szCs w:val="24"/>
          <w:lang w:eastAsia="en-US"/>
        </w:rPr>
      </w:pPr>
      <w:r w:rsidRPr="003D12D2">
        <w:rPr>
          <w:rStyle w:val="EndnoteReference"/>
          <w:rFonts w:asciiTheme="majorHAnsi" w:hAnsiTheme="majorHAnsi"/>
          <w:sz w:val="24"/>
          <w:szCs w:val="24"/>
        </w:rPr>
        <w:endnoteRef/>
      </w:r>
      <w:r w:rsidRPr="003D12D2">
        <w:rPr>
          <w:rFonts w:asciiTheme="majorHAnsi" w:hAnsiTheme="majorHAnsi"/>
          <w:sz w:val="24"/>
          <w:szCs w:val="24"/>
        </w:rPr>
        <w:t xml:space="preserve"> </w:t>
      </w:r>
      <w:r w:rsidR="00D70829">
        <w:rPr>
          <w:rFonts w:asciiTheme="majorHAnsi" w:hAnsiTheme="majorHAnsi"/>
          <w:sz w:val="24"/>
          <w:szCs w:val="24"/>
        </w:rPr>
        <w:t xml:space="preserve">Paul </w:t>
      </w:r>
      <w:proofErr w:type="spellStart"/>
      <w:r w:rsidR="00D70829">
        <w:rPr>
          <w:rFonts w:asciiTheme="majorHAnsi" w:hAnsiTheme="majorHAnsi"/>
          <w:sz w:val="24"/>
          <w:szCs w:val="24"/>
        </w:rPr>
        <w:t>Chennell</w:t>
      </w:r>
      <w:proofErr w:type="spellEnd"/>
      <w:r w:rsidRPr="003D12D2">
        <w:rPr>
          <w:rFonts w:asciiTheme="majorHAnsi" w:hAnsiTheme="majorHAnsi"/>
          <w:sz w:val="24"/>
          <w:szCs w:val="24"/>
        </w:rPr>
        <w:t xml:space="preserve">, </w:t>
      </w:r>
      <w:r w:rsidRPr="003D12D2">
        <w:rPr>
          <w:rFonts w:asciiTheme="majorHAnsi" w:hAnsiTheme="majorHAnsi"/>
          <w:sz w:val="24"/>
          <w:szCs w:val="24"/>
          <w:lang w:eastAsia="en-US"/>
        </w:rPr>
        <w:t xml:space="preserve">Review of </w:t>
      </w:r>
      <w:r w:rsidR="00C4517D">
        <w:rPr>
          <w:rFonts w:asciiTheme="majorHAnsi" w:hAnsiTheme="majorHAnsi"/>
          <w:sz w:val="24"/>
          <w:szCs w:val="24"/>
          <w:lang w:eastAsia="en-US"/>
        </w:rPr>
        <w:t xml:space="preserve">Jessica Douglas-Home, </w:t>
      </w:r>
      <w:r w:rsidR="00C4517D" w:rsidRPr="00C4517D">
        <w:rPr>
          <w:rFonts w:asciiTheme="majorHAnsi" w:hAnsiTheme="majorHAnsi"/>
          <w:i/>
          <w:sz w:val="24"/>
          <w:szCs w:val="24"/>
          <w:lang w:eastAsia="en-US"/>
        </w:rPr>
        <w:t>Violet: The Life and Loves of Violet Gordon Woodhouse</w:t>
      </w:r>
      <w:r w:rsidRPr="003D12D2">
        <w:rPr>
          <w:rFonts w:asciiTheme="majorHAnsi" w:hAnsiTheme="majorHAnsi"/>
          <w:sz w:val="24"/>
          <w:szCs w:val="24"/>
          <w:lang w:eastAsia="en-US"/>
        </w:rPr>
        <w:t xml:space="preserve">, in </w:t>
      </w:r>
      <w:r w:rsidRPr="003D12D2">
        <w:rPr>
          <w:rFonts w:asciiTheme="majorHAnsi" w:hAnsiTheme="majorHAnsi"/>
          <w:i/>
          <w:sz w:val="24"/>
          <w:szCs w:val="24"/>
          <w:lang w:eastAsia="en-US"/>
        </w:rPr>
        <w:t>The Delius Society Journal</w:t>
      </w:r>
      <w:r w:rsidRPr="003D12D2">
        <w:rPr>
          <w:rFonts w:asciiTheme="majorHAnsi" w:hAnsiTheme="majorHAnsi"/>
          <w:sz w:val="24"/>
          <w:szCs w:val="24"/>
          <w:lang w:eastAsia="en-US"/>
        </w:rPr>
        <w:t xml:space="preserve"> 120 (Spring 1997), </w:t>
      </w:r>
      <w:r w:rsidRPr="00C4517D">
        <w:rPr>
          <w:rFonts w:asciiTheme="majorHAnsi" w:hAnsiTheme="majorHAnsi"/>
          <w:sz w:val="24"/>
          <w:szCs w:val="24"/>
          <w:lang w:eastAsia="en-US"/>
        </w:rPr>
        <w:t>p</w:t>
      </w:r>
      <w:r w:rsidR="00C4517D" w:rsidRPr="00C4517D">
        <w:rPr>
          <w:rFonts w:asciiTheme="majorHAnsi" w:hAnsiTheme="majorHAnsi"/>
          <w:sz w:val="24"/>
          <w:szCs w:val="24"/>
          <w:lang w:eastAsia="en-US"/>
        </w:rPr>
        <w:t>p</w:t>
      </w:r>
      <w:r w:rsidRPr="00C4517D">
        <w:rPr>
          <w:rFonts w:asciiTheme="majorHAnsi" w:hAnsiTheme="majorHAnsi"/>
          <w:sz w:val="24"/>
          <w:szCs w:val="24"/>
          <w:lang w:eastAsia="en-US"/>
        </w:rPr>
        <w:t>.</w:t>
      </w:r>
      <w:r w:rsidR="00C4517D" w:rsidRPr="00C4517D">
        <w:rPr>
          <w:rFonts w:asciiTheme="majorHAnsi" w:hAnsiTheme="majorHAnsi"/>
          <w:sz w:val="24"/>
          <w:szCs w:val="24"/>
          <w:lang w:eastAsia="en-US"/>
        </w:rPr>
        <w:t xml:space="preserve"> 60-61 at</w:t>
      </w:r>
      <w:r w:rsidRPr="00C4517D">
        <w:rPr>
          <w:rFonts w:asciiTheme="majorHAnsi" w:hAnsiTheme="majorHAnsi"/>
          <w:sz w:val="24"/>
          <w:szCs w:val="24"/>
          <w:lang w:eastAsia="en-US"/>
        </w:rPr>
        <w:t xml:space="preserve"> </w:t>
      </w:r>
      <w:r w:rsidR="00627074">
        <w:rPr>
          <w:rFonts w:asciiTheme="majorHAnsi" w:hAnsiTheme="majorHAnsi"/>
          <w:sz w:val="24"/>
          <w:szCs w:val="24"/>
          <w:lang w:eastAsia="en-US"/>
        </w:rPr>
        <w:t xml:space="preserve">p. </w:t>
      </w:r>
      <w:r w:rsidRPr="00C4517D">
        <w:rPr>
          <w:rFonts w:asciiTheme="majorHAnsi" w:hAnsiTheme="majorHAnsi"/>
          <w:sz w:val="24"/>
          <w:szCs w:val="24"/>
          <w:lang w:eastAsia="en-US"/>
        </w:rPr>
        <w:t>61</w:t>
      </w:r>
    </w:p>
  </w:endnote>
  <w:endnote w:id="19">
    <w:p w:rsidR="005F23AB" w:rsidRPr="003D12D2" w:rsidRDefault="005F23AB" w:rsidP="00FE2E04">
      <w:pPr>
        <w:pStyle w:val="EndnoteText"/>
        <w:rPr>
          <w:rFonts w:asciiTheme="majorHAnsi" w:hAnsiTheme="majorHAnsi"/>
          <w:sz w:val="24"/>
          <w:szCs w:val="24"/>
        </w:rPr>
      </w:pPr>
      <w:r w:rsidRPr="003D12D2">
        <w:rPr>
          <w:rStyle w:val="EndnoteReference"/>
          <w:rFonts w:asciiTheme="majorHAnsi" w:hAnsiTheme="majorHAnsi"/>
          <w:sz w:val="24"/>
          <w:szCs w:val="24"/>
        </w:rPr>
        <w:endnoteRef/>
      </w:r>
      <w:r w:rsidRPr="003D12D2">
        <w:rPr>
          <w:rFonts w:asciiTheme="majorHAnsi" w:hAnsiTheme="majorHAnsi"/>
          <w:sz w:val="24"/>
          <w:szCs w:val="24"/>
        </w:rPr>
        <w:t xml:space="preserve"> </w:t>
      </w:r>
      <w:r w:rsidR="00C4517D">
        <w:rPr>
          <w:rFonts w:asciiTheme="majorHAnsi" w:hAnsiTheme="majorHAnsi"/>
          <w:sz w:val="24"/>
          <w:szCs w:val="24"/>
        </w:rPr>
        <w:t xml:space="preserve">G. G. Hoare, </w:t>
      </w:r>
      <w:r w:rsidR="00C4517D" w:rsidRPr="00C4517D">
        <w:rPr>
          <w:rFonts w:asciiTheme="majorHAnsi" w:hAnsiTheme="majorHAnsi"/>
          <w:sz w:val="24"/>
          <w:szCs w:val="24"/>
        </w:rPr>
        <w:t>‘Delius Slept Here?</w:t>
      </w:r>
      <w:proofErr w:type="gramStart"/>
      <w:r w:rsidR="00C4517D" w:rsidRPr="00C4517D">
        <w:rPr>
          <w:rFonts w:asciiTheme="majorHAnsi" w:hAnsiTheme="majorHAnsi"/>
          <w:sz w:val="24"/>
          <w:szCs w:val="24"/>
        </w:rPr>
        <w:t>’</w:t>
      </w:r>
      <w:r w:rsidRPr="00C4517D">
        <w:rPr>
          <w:rFonts w:asciiTheme="majorHAnsi" w:hAnsiTheme="majorHAnsi"/>
          <w:sz w:val="24"/>
          <w:szCs w:val="24"/>
        </w:rPr>
        <w:t>,</w:t>
      </w:r>
      <w:proofErr w:type="gramEnd"/>
      <w:r w:rsidRPr="003D12D2">
        <w:rPr>
          <w:rFonts w:asciiTheme="majorHAnsi" w:hAnsiTheme="majorHAnsi"/>
          <w:sz w:val="24"/>
          <w:szCs w:val="24"/>
        </w:rPr>
        <w:t xml:space="preserve"> </w:t>
      </w:r>
      <w:r w:rsidRPr="003D12D2">
        <w:rPr>
          <w:rFonts w:asciiTheme="majorHAnsi" w:hAnsiTheme="majorHAnsi"/>
          <w:i/>
          <w:sz w:val="24"/>
          <w:szCs w:val="24"/>
        </w:rPr>
        <w:t>The Delius Society Journal</w:t>
      </w:r>
      <w:r w:rsidRPr="003D12D2">
        <w:rPr>
          <w:rFonts w:asciiTheme="majorHAnsi" w:hAnsiTheme="majorHAnsi"/>
          <w:sz w:val="24"/>
          <w:szCs w:val="24"/>
        </w:rPr>
        <w:t xml:space="preserve"> 54 (January 1977), p</w:t>
      </w:r>
      <w:r w:rsidR="00627074">
        <w:rPr>
          <w:rFonts w:asciiTheme="majorHAnsi" w:hAnsiTheme="majorHAnsi"/>
          <w:sz w:val="24"/>
          <w:szCs w:val="24"/>
        </w:rPr>
        <w:t>p</w:t>
      </w:r>
      <w:r w:rsidRPr="003D12D2">
        <w:rPr>
          <w:rFonts w:asciiTheme="majorHAnsi" w:hAnsiTheme="majorHAnsi"/>
          <w:sz w:val="24"/>
          <w:szCs w:val="24"/>
        </w:rPr>
        <w:t>.</w:t>
      </w:r>
      <w:r w:rsidR="00627074">
        <w:rPr>
          <w:rFonts w:asciiTheme="majorHAnsi" w:hAnsiTheme="majorHAnsi"/>
          <w:sz w:val="24"/>
          <w:szCs w:val="24"/>
        </w:rPr>
        <w:t xml:space="preserve"> 5-9 at p.</w:t>
      </w:r>
      <w:r w:rsidRPr="003D12D2">
        <w:rPr>
          <w:rFonts w:asciiTheme="majorHAnsi" w:hAnsiTheme="majorHAnsi"/>
          <w:sz w:val="24"/>
          <w:szCs w:val="24"/>
        </w:rPr>
        <w:t xml:space="preserve"> 9. Heseltine, </w:t>
      </w:r>
      <w:r w:rsidRPr="003D12D2">
        <w:rPr>
          <w:rFonts w:asciiTheme="majorHAnsi" w:hAnsiTheme="majorHAnsi"/>
          <w:i/>
          <w:sz w:val="24"/>
          <w:szCs w:val="24"/>
        </w:rPr>
        <w:t>Delius</w:t>
      </w:r>
      <w:r w:rsidRPr="003D12D2">
        <w:rPr>
          <w:rFonts w:asciiTheme="majorHAnsi" w:hAnsiTheme="majorHAnsi"/>
          <w:sz w:val="24"/>
          <w:szCs w:val="24"/>
        </w:rPr>
        <w:t>, p. 175</w:t>
      </w:r>
    </w:p>
  </w:endnote>
  <w:endnote w:id="20">
    <w:p w:rsidR="005F23AB" w:rsidRPr="003D12D2" w:rsidRDefault="005F23AB" w:rsidP="00FE2E04">
      <w:pPr>
        <w:pStyle w:val="EndnoteText"/>
        <w:rPr>
          <w:rFonts w:asciiTheme="majorHAnsi" w:hAnsiTheme="majorHAnsi"/>
          <w:sz w:val="24"/>
          <w:szCs w:val="24"/>
        </w:rPr>
      </w:pPr>
      <w:r w:rsidRPr="003D12D2">
        <w:rPr>
          <w:rStyle w:val="EndnoteReference"/>
          <w:rFonts w:asciiTheme="majorHAnsi" w:hAnsiTheme="majorHAnsi"/>
          <w:sz w:val="24"/>
          <w:szCs w:val="24"/>
        </w:rPr>
        <w:endnoteRef/>
      </w:r>
      <w:r w:rsidRPr="003D12D2">
        <w:rPr>
          <w:rFonts w:asciiTheme="majorHAnsi" w:hAnsiTheme="majorHAnsi"/>
          <w:sz w:val="24"/>
          <w:szCs w:val="24"/>
        </w:rPr>
        <w:t xml:space="preserve"> Carley (ed.), </w:t>
      </w:r>
      <w:r w:rsidRPr="003D12D2">
        <w:rPr>
          <w:rFonts w:asciiTheme="majorHAnsi" w:hAnsiTheme="majorHAnsi"/>
          <w:i/>
          <w:sz w:val="24"/>
          <w:szCs w:val="24"/>
        </w:rPr>
        <w:t>Delius: A Life in Letters II</w:t>
      </w:r>
      <w:r w:rsidRPr="003D12D2">
        <w:rPr>
          <w:rFonts w:asciiTheme="majorHAnsi" w:hAnsiTheme="majorHAnsi"/>
          <w:sz w:val="24"/>
          <w:szCs w:val="24"/>
        </w:rPr>
        <w:t>, p. 249</w:t>
      </w:r>
    </w:p>
  </w:endnote>
  <w:endnote w:id="21">
    <w:p w:rsidR="005F23AB" w:rsidRPr="003D12D2" w:rsidRDefault="005F23AB" w:rsidP="00FE2E04">
      <w:pPr>
        <w:pStyle w:val="EndnoteText"/>
        <w:rPr>
          <w:rFonts w:asciiTheme="majorHAnsi" w:hAnsiTheme="majorHAnsi"/>
          <w:sz w:val="24"/>
          <w:szCs w:val="24"/>
        </w:rPr>
      </w:pPr>
      <w:r w:rsidRPr="003D12D2">
        <w:rPr>
          <w:rStyle w:val="EndnoteReference"/>
          <w:rFonts w:asciiTheme="majorHAnsi" w:hAnsiTheme="majorHAnsi"/>
          <w:sz w:val="24"/>
          <w:szCs w:val="24"/>
        </w:rPr>
        <w:endnoteRef/>
      </w:r>
      <w:r w:rsidRPr="003D12D2">
        <w:rPr>
          <w:rFonts w:asciiTheme="majorHAnsi" w:hAnsiTheme="majorHAnsi"/>
          <w:sz w:val="24"/>
          <w:szCs w:val="24"/>
        </w:rPr>
        <w:t xml:space="preserve"> Montgomery &amp; Threlfall, </w:t>
      </w:r>
      <w:r w:rsidRPr="003D12D2">
        <w:rPr>
          <w:rFonts w:asciiTheme="majorHAnsi" w:hAnsiTheme="majorHAnsi"/>
          <w:i/>
          <w:sz w:val="24"/>
          <w:szCs w:val="24"/>
        </w:rPr>
        <w:t>Music and Copyright</w:t>
      </w:r>
      <w:r w:rsidRPr="003D12D2">
        <w:rPr>
          <w:rFonts w:asciiTheme="majorHAnsi" w:hAnsiTheme="majorHAnsi"/>
          <w:sz w:val="24"/>
          <w:szCs w:val="24"/>
        </w:rPr>
        <w:t>, p. 16</w:t>
      </w:r>
    </w:p>
  </w:endnote>
  <w:endnote w:id="22">
    <w:p w:rsidR="005F23AB" w:rsidRPr="003D12D2" w:rsidRDefault="005F23AB" w:rsidP="00FE2E04">
      <w:pPr>
        <w:pStyle w:val="EndnoteText"/>
        <w:rPr>
          <w:rFonts w:asciiTheme="majorHAnsi" w:hAnsiTheme="majorHAnsi"/>
          <w:sz w:val="24"/>
          <w:szCs w:val="24"/>
        </w:rPr>
      </w:pPr>
      <w:r w:rsidRPr="003D12D2">
        <w:rPr>
          <w:rStyle w:val="EndnoteReference"/>
          <w:rFonts w:asciiTheme="majorHAnsi" w:hAnsiTheme="majorHAnsi"/>
          <w:sz w:val="24"/>
          <w:szCs w:val="24"/>
        </w:rPr>
        <w:endnoteRef/>
      </w:r>
      <w:r w:rsidRPr="003D12D2">
        <w:rPr>
          <w:rFonts w:asciiTheme="majorHAnsi" w:hAnsiTheme="majorHAnsi"/>
          <w:sz w:val="24"/>
          <w:szCs w:val="24"/>
        </w:rPr>
        <w:t xml:space="preserve"> Frederick Delius, ‘At the Cross-Roads’, </w:t>
      </w:r>
      <w:r w:rsidRPr="003D12D2">
        <w:rPr>
          <w:rFonts w:asciiTheme="majorHAnsi" w:hAnsiTheme="majorHAnsi"/>
          <w:i/>
          <w:sz w:val="24"/>
          <w:szCs w:val="24"/>
        </w:rPr>
        <w:t>The Sackbut</w:t>
      </w:r>
      <w:r w:rsidRPr="003D12D2">
        <w:rPr>
          <w:rFonts w:asciiTheme="majorHAnsi" w:hAnsiTheme="majorHAnsi"/>
          <w:sz w:val="24"/>
          <w:szCs w:val="24"/>
        </w:rPr>
        <w:t xml:space="preserve"> 1/5 (1920), pp. 205-208 at p. 206, quoted in Collins, ‘Never out of date and never modern’, p. 425</w:t>
      </w:r>
    </w:p>
  </w:endnote>
  <w:endnote w:id="23">
    <w:p w:rsidR="005F23AB" w:rsidRPr="003D12D2" w:rsidRDefault="005F23AB" w:rsidP="00FE2E04">
      <w:pPr>
        <w:pStyle w:val="EndnoteText"/>
        <w:rPr>
          <w:rFonts w:asciiTheme="majorHAnsi" w:hAnsiTheme="majorHAnsi"/>
          <w:sz w:val="24"/>
          <w:szCs w:val="24"/>
        </w:rPr>
      </w:pPr>
      <w:r w:rsidRPr="003D12D2">
        <w:rPr>
          <w:rStyle w:val="EndnoteReference"/>
          <w:rFonts w:asciiTheme="majorHAnsi" w:hAnsiTheme="majorHAnsi"/>
          <w:sz w:val="24"/>
          <w:szCs w:val="24"/>
        </w:rPr>
        <w:endnoteRef/>
      </w:r>
      <w:r w:rsidRPr="003D12D2">
        <w:rPr>
          <w:rFonts w:asciiTheme="majorHAnsi" w:hAnsiTheme="majorHAnsi"/>
          <w:sz w:val="24"/>
          <w:szCs w:val="24"/>
        </w:rPr>
        <w:t xml:space="preserve"> Heseltine, </w:t>
      </w:r>
      <w:r w:rsidRPr="003D12D2">
        <w:rPr>
          <w:rFonts w:asciiTheme="majorHAnsi" w:hAnsiTheme="majorHAnsi"/>
          <w:i/>
          <w:sz w:val="24"/>
          <w:szCs w:val="24"/>
        </w:rPr>
        <w:t>Delius</w:t>
      </w:r>
      <w:r w:rsidRPr="003D12D2">
        <w:rPr>
          <w:rFonts w:asciiTheme="majorHAnsi" w:hAnsiTheme="majorHAnsi"/>
          <w:sz w:val="24"/>
          <w:szCs w:val="24"/>
        </w:rPr>
        <w:t>, p. 156</w:t>
      </w:r>
    </w:p>
  </w:endnote>
  <w:endnote w:id="24">
    <w:p w:rsidR="005F23AB" w:rsidRPr="003D12D2" w:rsidRDefault="005F23AB" w:rsidP="00FE2E04">
      <w:pPr>
        <w:pStyle w:val="EndnoteText"/>
        <w:rPr>
          <w:rFonts w:asciiTheme="majorHAnsi" w:hAnsiTheme="majorHAnsi"/>
          <w:sz w:val="24"/>
          <w:szCs w:val="24"/>
        </w:rPr>
      </w:pPr>
      <w:r w:rsidRPr="003D12D2">
        <w:rPr>
          <w:rStyle w:val="EndnoteReference"/>
          <w:rFonts w:asciiTheme="majorHAnsi" w:hAnsiTheme="majorHAnsi"/>
          <w:sz w:val="24"/>
          <w:szCs w:val="24"/>
        </w:rPr>
        <w:endnoteRef/>
      </w:r>
      <w:r w:rsidRPr="003D12D2">
        <w:rPr>
          <w:rFonts w:asciiTheme="majorHAnsi" w:hAnsiTheme="majorHAnsi"/>
          <w:sz w:val="24"/>
          <w:szCs w:val="24"/>
        </w:rPr>
        <w:t xml:space="preserve"> Montgomery &amp; Threlfall, </w:t>
      </w:r>
      <w:r w:rsidRPr="003D12D2">
        <w:rPr>
          <w:rFonts w:asciiTheme="majorHAnsi" w:hAnsiTheme="majorHAnsi"/>
          <w:i/>
          <w:sz w:val="24"/>
          <w:szCs w:val="24"/>
        </w:rPr>
        <w:t>Music and Copyright</w:t>
      </w:r>
      <w:r w:rsidRPr="003D12D2">
        <w:rPr>
          <w:rFonts w:asciiTheme="majorHAnsi" w:hAnsiTheme="majorHAnsi"/>
          <w:sz w:val="24"/>
          <w:szCs w:val="24"/>
        </w:rPr>
        <w:t>, p. 27</w:t>
      </w:r>
    </w:p>
  </w:endnote>
  <w:endnote w:id="25">
    <w:p w:rsidR="005F23AB" w:rsidRPr="003D12D2" w:rsidRDefault="005F23AB" w:rsidP="00FE2E04">
      <w:pPr>
        <w:pStyle w:val="EndnoteText"/>
        <w:rPr>
          <w:rFonts w:asciiTheme="majorHAnsi" w:hAnsiTheme="majorHAnsi"/>
          <w:sz w:val="24"/>
          <w:szCs w:val="24"/>
        </w:rPr>
      </w:pPr>
      <w:r w:rsidRPr="003D12D2">
        <w:rPr>
          <w:rStyle w:val="EndnoteReference"/>
          <w:rFonts w:asciiTheme="majorHAnsi" w:hAnsiTheme="majorHAnsi"/>
          <w:sz w:val="24"/>
          <w:szCs w:val="24"/>
        </w:rPr>
        <w:endnoteRef/>
      </w:r>
      <w:r w:rsidRPr="003D12D2">
        <w:rPr>
          <w:rFonts w:asciiTheme="majorHAnsi" w:hAnsiTheme="majorHAnsi"/>
          <w:sz w:val="24"/>
          <w:szCs w:val="24"/>
        </w:rPr>
        <w:t xml:space="preserve"> Sarah Collins, ‘The Composer as “Good European”: Musical Modernism, </w:t>
      </w:r>
      <w:r w:rsidRPr="003D12D2">
        <w:rPr>
          <w:rFonts w:asciiTheme="majorHAnsi" w:hAnsiTheme="majorHAnsi"/>
          <w:i/>
          <w:sz w:val="24"/>
          <w:szCs w:val="24"/>
        </w:rPr>
        <w:t xml:space="preserve">Amor </w:t>
      </w:r>
      <w:proofErr w:type="spellStart"/>
      <w:r w:rsidRPr="003D12D2">
        <w:rPr>
          <w:rFonts w:asciiTheme="majorHAnsi" w:hAnsiTheme="majorHAnsi"/>
          <w:i/>
          <w:sz w:val="24"/>
          <w:szCs w:val="24"/>
        </w:rPr>
        <w:t>fati</w:t>
      </w:r>
      <w:proofErr w:type="spellEnd"/>
      <w:r w:rsidRPr="003D12D2">
        <w:rPr>
          <w:rFonts w:asciiTheme="majorHAnsi" w:hAnsiTheme="majorHAnsi"/>
          <w:sz w:val="24"/>
          <w:szCs w:val="24"/>
        </w:rPr>
        <w:t xml:space="preserve"> and the Cosmopolitanism of Frederick Delius’, </w:t>
      </w:r>
      <w:r w:rsidRPr="003D12D2">
        <w:rPr>
          <w:rFonts w:asciiTheme="majorHAnsi" w:hAnsiTheme="majorHAnsi"/>
          <w:i/>
          <w:sz w:val="24"/>
          <w:szCs w:val="24"/>
        </w:rPr>
        <w:t>Twentieth-Century Music</w:t>
      </w:r>
      <w:r w:rsidRPr="003D12D2">
        <w:rPr>
          <w:rFonts w:asciiTheme="majorHAnsi" w:hAnsiTheme="majorHAnsi"/>
          <w:sz w:val="24"/>
          <w:szCs w:val="24"/>
        </w:rPr>
        <w:t xml:space="preserve"> 12/1 (March 2015), pp. 97-123</w:t>
      </w:r>
    </w:p>
  </w:endnote>
  <w:endnote w:id="26">
    <w:p w:rsidR="005F23AB" w:rsidRPr="003D12D2" w:rsidRDefault="005F23AB" w:rsidP="00FE2E04">
      <w:pPr>
        <w:pStyle w:val="EndnoteText"/>
        <w:rPr>
          <w:rFonts w:asciiTheme="majorHAnsi" w:hAnsiTheme="majorHAnsi"/>
          <w:sz w:val="24"/>
          <w:szCs w:val="24"/>
        </w:rPr>
      </w:pPr>
      <w:r w:rsidRPr="003D12D2">
        <w:rPr>
          <w:rStyle w:val="EndnoteReference"/>
          <w:rFonts w:asciiTheme="majorHAnsi" w:hAnsiTheme="majorHAnsi"/>
          <w:sz w:val="24"/>
          <w:szCs w:val="24"/>
        </w:rPr>
        <w:endnoteRef/>
      </w:r>
      <w:r w:rsidRPr="003D12D2">
        <w:rPr>
          <w:rFonts w:asciiTheme="majorHAnsi" w:hAnsiTheme="majorHAnsi"/>
          <w:sz w:val="24"/>
          <w:szCs w:val="24"/>
        </w:rPr>
        <w:t xml:space="preserve"> </w:t>
      </w:r>
      <w:r w:rsidRPr="003D12D2">
        <w:rPr>
          <w:rStyle w:val="addmd1"/>
          <w:rFonts w:asciiTheme="majorHAnsi" w:hAnsiTheme="majorHAnsi" w:cs="Arial"/>
          <w:sz w:val="24"/>
          <w:szCs w:val="24"/>
        </w:rPr>
        <w:t xml:space="preserve">Philip Zaleski &amp; Carol Zaleski, </w:t>
      </w:r>
      <w:r w:rsidRPr="003D12D2">
        <w:rPr>
          <w:rFonts w:asciiTheme="majorHAnsi" w:hAnsiTheme="majorHAnsi" w:cs="Arial"/>
          <w:i/>
          <w:sz w:val="24"/>
          <w:szCs w:val="24"/>
        </w:rPr>
        <w:t>The Fellowship: The Literary Lives of the Inklings: J.R.R. Tolkien, C. S. Lewis, Owen Barfield, Charles Williams</w:t>
      </w:r>
      <w:r w:rsidRPr="003D12D2">
        <w:rPr>
          <w:rFonts w:asciiTheme="majorHAnsi" w:hAnsiTheme="majorHAnsi" w:cs="Arial"/>
          <w:sz w:val="24"/>
          <w:szCs w:val="24"/>
        </w:rPr>
        <w:t xml:space="preserve"> (New York: Farrar, Straus &amp; Giroux, 2015), p. 86</w:t>
      </w:r>
    </w:p>
  </w:endnote>
  <w:endnote w:id="27">
    <w:p w:rsidR="005F23AB" w:rsidRPr="003D12D2" w:rsidRDefault="005F23AB" w:rsidP="00FE2E04">
      <w:pPr>
        <w:pStyle w:val="EndnoteText"/>
        <w:rPr>
          <w:rFonts w:asciiTheme="majorHAnsi" w:hAnsiTheme="majorHAnsi"/>
          <w:sz w:val="24"/>
          <w:szCs w:val="24"/>
        </w:rPr>
      </w:pPr>
      <w:r w:rsidRPr="003D12D2">
        <w:rPr>
          <w:rStyle w:val="EndnoteReference"/>
          <w:rFonts w:asciiTheme="majorHAnsi" w:hAnsiTheme="majorHAnsi"/>
          <w:sz w:val="24"/>
          <w:szCs w:val="24"/>
        </w:rPr>
        <w:endnoteRef/>
      </w:r>
      <w:r w:rsidRPr="003D12D2">
        <w:rPr>
          <w:rFonts w:asciiTheme="majorHAnsi" w:hAnsiTheme="majorHAnsi"/>
          <w:sz w:val="24"/>
          <w:szCs w:val="24"/>
        </w:rPr>
        <w:t xml:space="preserve"> Arthur Henry Fox Strangways, ‘Editorial’, </w:t>
      </w:r>
      <w:r w:rsidRPr="003D12D2">
        <w:rPr>
          <w:rFonts w:asciiTheme="majorHAnsi" w:hAnsiTheme="majorHAnsi"/>
          <w:i/>
          <w:sz w:val="24"/>
          <w:szCs w:val="24"/>
        </w:rPr>
        <w:t>Music and Letters</w:t>
      </w:r>
      <w:r w:rsidRPr="003D12D2">
        <w:rPr>
          <w:rFonts w:asciiTheme="majorHAnsi" w:hAnsiTheme="majorHAnsi"/>
          <w:sz w:val="24"/>
          <w:szCs w:val="24"/>
        </w:rPr>
        <w:t xml:space="preserve"> 1/1 (January 1920), pp. 3-5 at p. 4</w:t>
      </w:r>
    </w:p>
  </w:endnote>
  <w:endnote w:id="28">
    <w:p w:rsidR="005F23AB" w:rsidRPr="003D12D2" w:rsidRDefault="005F23AB">
      <w:pPr>
        <w:pStyle w:val="EndnoteText"/>
        <w:rPr>
          <w:rFonts w:asciiTheme="majorHAnsi" w:hAnsiTheme="majorHAnsi"/>
          <w:sz w:val="24"/>
          <w:szCs w:val="24"/>
        </w:rPr>
      </w:pPr>
      <w:r w:rsidRPr="003D12D2">
        <w:rPr>
          <w:rStyle w:val="EndnoteReference"/>
          <w:rFonts w:asciiTheme="majorHAnsi" w:hAnsiTheme="majorHAnsi"/>
          <w:sz w:val="24"/>
          <w:szCs w:val="24"/>
        </w:rPr>
        <w:endnoteRef/>
      </w:r>
      <w:r w:rsidRPr="003D12D2">
        <w:rPr>
          <w:rFonts w:asciiTheme="majorHAnsi" w:hAnsiTheme="majorHAnsi"/>
          <w:sz w:val="24"/>
          <w:szCs w:val="24"/>
        </w:rPr>
        <w:t xml:space="preserve"> Clutton-Brock, ‘On Listening to Music’, both p. </w:t>
      </w:r>
      <w:r w:rsidRPr="003D12D2">
        <w:rPr>
          <w:rFonts w:asciiTheme="majorHAnsi" w:eastAsia="Times New Roman" w:hAnsiTheme="majorHAnsi"/>
          <w:sz w:val="24"/>
          <w:szCs w:val="24"/>
        </w:rPr>
        <w:t>12</w:t>
      </w:r>
    </w:p>
  </w:endnote>
  <w:endnote w:id="29">
    <w:p w:rsidR="005F23AB" w:rsidRPr="003D12D2" w:rsidRDefault="005F23AB" w:rsidP="005F23AB">
      <w:pPr>
        <w:pStyle w:val="EndnoteText"/>
        <w:rPr>
          <w:rFonts w:asciiTheme="majorHAnsi" w:hAnsiTheme="majorHAnsi"/>
          <w:sz w:val="24"/>
          <w:szCs w:val="24"/>
        </w:rPr>
      </w:pPr>
      <w:r w:rsidRPr="003D12D2">
        <w:rPr>
          <w:rStyle w:val="EndnoteReference"/>
          <w:rFonts w:asciiTheme="majorHAnsi" w:hAnsiTheme="majorHAnsi"/>
          <w:sz w:val="24"/>
          <w:szCs w:val="24"/>
        </w:rPr>
        <w:endnoteRef/>
      </w:r>
      <w:r w:rsidRPr="003D12D2">
        <w:rPr>
          <w:rFonts w:asciiTheme="majorHAnsi" w:hAnsiTheme="majorHAnsi"/>
          <w:sz w:val="24"/>
          <w:szCs w:val="24"/>
        </w:rPr>
        <w:t xml:space="preserve"> Clutton-Brock, ‘On Listening to Music’, p. </w:t>
      </w:r>
      <w:r w:rsidRPr="003D12D2">
        <w:rPr>
          <w:rFonts w:asciiTheme="majorHAnsi" w:eastAsia="Times New Roman" w:hAnsiTheme="majorHAnsi"/>
          <w:sz w:val="24"/>
          <w:szCs w:val="24"/>
        </w:rPr>
        <w:t>16</w:t>
      </w:r>
    </w:p>
  </w:endnote>
  <w:endnote w:id="30">
    <w:p w:rsidR="00303A15" w:rsidRPr="003D12D2" w:rsidRDefault="00303A15" w:rsidP="00303A15">
      <w:pPr>
        <w:pStyle w:val="Heading1"/>
        <w:spacing w:before="0"/>
        <w:rPr>
          <w:rFonts w:cs="Arial"/>
          <w:b w:val="0"/>
          <w:color w:val="auto"/>
          <w:sz w:val="24"/>
          <w:szCs w:val="24"/>
        </w:rPr>
      </w:pPr>
      <w:r w:rsidRPr="003D12D2">
        <w:rPr>
          <w:rStyle w:val="EndnoteReference"/>
          <w:b w:val="0"/>
          <w:color w:val="auto"/>
          <w:sz w:val="24"/>
          <w:szCs w:val="24"/>
        </w:rPr>
        <w:endnoteRef/>
      </w:r>
      <w:r w:rsidRPr="003D12D2">
        <w:rPr>
          <w:b w:val="0"/>
          <w:color w:val="auto"/>
          <w:sz w:val="24"/>
          <w:szCs w:val="24"/>
        </w:rPr>
        <w:t xml:space="preserve"> </w:t>
      </w:r>
      <w:r w:rsidRPr="003D12D2">
        <w:rPr>
          <w:rStyle w:val="addmd1"/>
          <w:rFonts w:cs="Arial"/>
          <w:b w:val="0"/>
          <w:color w:val="auto"/>
          <w:sz w:val="24"/>
          <w:szCs w:val="24"/>
        </w:rPr>
        <w:t>Donald J. Childs</w:t>
      </w:r>
      <w:r w:rsidRPr="003D12D2">
        <w:rPr>
          <w:rFonts w:cs="Arial"/>
          <w:b w:val="0"/>
          <w:color w:val="auto"/>
          <w:sz w:val="24"/>
          <w:szCs w:val="24"/>
        </w:rPr>
        <w:t xml:space="preserve">, </w:t>
      </w:r>
      <w:r w:rsidRPr="003D12D2">
        <w:rPr>
          <w:rFonts w:cs="Arial"/>
          <w:b w:val="0"/>
          <w:i/>
          <w:color w:val="auto"/>
          <w:sz w:val="24"/>
          <w:szCs w:val="24"/>
        </w:rPr>
        <w:t>T. S. Eliot: Mystic, Son and Lover</w:t>
      </w:r>
      <w:r w:rsidRPr="003D12D2">
        <w:rPr>
          <w:rFonts w:cs="Arial"/>
          <w:b w:val="0"/>
          <w:color w:val="auto"/>
          <w:sz w:val="24"/>
          <w:szCs w:val="24"/>
        </w:rPr>
        <w:t xml:space="preserve"> (London: Bloomsbury, 2013), p. 63</w:t>
      </w:r>
    </w:p>
  </w:endnote>
  <w:endnote w:id="31">
    <w:p w:rsidR="005F23AB" w:rsidRPr="003D12D2" w:rsidRDefault="005F23AB" w:rsidP="00FE2E04">
      <w:pPr>
        <w:pStyle w:val="EndnoteText"/>
        <w:rPr>
          <w:rFonts w:asciiTheme="majorHAnsi" w:hAnsiTheme="majorHAnsi"/>
          <w:sz w:val="24"/>
          <w:szCs w:val="24"/>
        </w:rPr>
      </w:pPr>
      <w:r w:rsidRPr="003D12D2">
        <w:rPr>
          <w:rStyle w:val="EndnoteReference"/>
          <w:rFonts w:asciiTheme="majorHAnsi" w:hAnsiTheme="majorHAnsi"/>
          <w:sz w:val="24"/>
          <w:szCs w:val="24"/>
        </w:rPr>
        <w:endnoteRef/>
      </w:r>
      <w:r w:rsidRPr="003D12D2">
        <w:rPr>
          <w:rFonts w:asciiTheme="majorHAnsi" w:hAnsiTheme="majorHAnsi"/>
          <w:sz w:val="24"/>
          <w:szCs w:val="24"/>
        </w:rPr>
        <w:t xml:space="preserve"> Philip Heseltine, ‘Foreword’, </w:t>
      </w:r>
      <w:r w:rsidRPr="003D12D2">
        <w:rPr>
          <w:rFonts w:asciiTheme="majorHAnsi" w:hAnsiTheme="majorHAnsi"/>
          <w:i/>
          <w:sz w:val="24"/>
          <w:szCs w:val="24"/>
        </w:rPr>
        <w:t>The Sackbut</w:t>
      </w:r>
      <w:r w:rsidRPr="003D12D2">
        <w:rPr>
          <w:rFonts w:asciiTheme="majorHAnsi" w:hAnsiTheme="majorHAnsi"/>
          <w:sz w:val="24"/>
          <w:szCs w:val="24"/>
        </w:rPr>
        <w:t xml:space="preserve"> 1/1 (1920), pp. 7-8, quoted in Collins, ‘Never out of date and never modern’, p. 418</w:t>
      </w:r>
    </w:p>
  </w:endnote>
  <w:endnote w:id="32">
    <w:p w:rsidR="005F23AB" w:rsidRPr="003D12D2" w:rsidRDefault="005F23AB">
      <w:pPr>
        <w:pStyle w:val="EndnoteText"/>
        <w:rPr>
          <w:rFonts w:asciiTheme="majorHAnsi" w:hAnsiTheme="majorHAnsi"/>
          <w:sz w:val="24"/>
          <w:szCs w:val="24"/>
        </w:rPr>
      </w:pPr>
      <w:r w:rsidRPr="003D12D2">
        <w:rPr>
          <w:rStyle w:val="EndnoteReference"/>
          <w:rFonts w:asciiTheme="majorHAnsi" w:hAnsiTheme="majorHAnsi"/>
          <w:sz w:val="24"/>
          <w:szCs w:val="24"/>
        </w:rPr>
        <w:endnoteRef/>
      </w:r>
      <w:r w:rsidRPr="003D12D2">
        <w:rPr>
          <w:rFonts w:asciiTheme="majorHAnsi" w:hAnsiTheme="majorHAnsi"/>
          <w:sz w:val="24"/>
          <w:szCs w:val="24"/>
        </w:rPr>
        <w:t xml:space="preserve"> Clutton-Brock, ‘On Listening to Music’, p. </w:t>
      </w:r>
      <w:r w:rsidRPr="003D12D2">
        <w:rPr>
          <w:rFonts w:asciiTheme="majorHAnsi" w:eastAsia="Times New Roman" w:hAnsiTheme="majorHAnsi"/>
          <w:sz w:val="24"/>
          <w:szCs w:val="24"/>
        </w:rPr>
        <w:t>17</w:t>
      </w:r>
    </w:p>
  </w:endnote>
  <w:endnote w:id="33">
    <w:p w:rsidR="005F23AB" w:rsidRPr="003D12D2" w:rsidRDefault="005F23AB">
      <w:pPr>
        <w:pStyle w:val="EndnoteText"/>
        <w:rPr>
          <w:rFonts w:asciiTheme="majorHAnsi" w:hAnsiTheme="majorHAnsi"/>
          <w:sz w:val="24"/>
          <w:szCs w:val="24"/>
        </w:rPr>
      </w:pPr>
      <w:r w:rsidRPr="003D12D2">
        <w:rPr>
          <w:rStyle w:val="EndnoteReference"/>
          <w:rFonts w:asciiTheme="majorHAnsi" w:hAnsiTheme="majorHAnsi"/>
          <w:sz w:val="24"/>
          <w:szCs w:val="24"/>
        </w:rPr>
        <w:endnoteRef/>
      </w:r>
      <w:r w:rsidRPr="003D12D2">
        <w:rPr>
          <w:rFonts w:asciiTheme="majorHAnsi" w:hAnsiTheme="majorHAnsi"/>
          <w:sz w:val="24"/>
          <w:szCs w:val="24"/>
        </w:rPr>
        <w:t xml:space="preserve"> Clutton-Brock, ‘On Listening to Music’, p. </w:t>
      </w:r>
      <w:r w:rsidRPr="003D12D2">
        <w:rPr>
          <w:rFonts w:asciiTheme="majorHAnsi" w:eastAsia="Times New Roman" w:hAnsiTheme="majorHAnsi"/>
          <w:sz w:val="24"/>
          <w:szCs w:val="24"/>
        </w:rPr>
        <w:t>13</w:t>
      </w:r>
    </w:p>
  </w:endnote>
  <w:endnote w:id="34">
    <w:p w:rsidR="005F23AB" w:rsidRPr="003D12D2" w:rsidRDefault="005F23AB" w:rsidP="00FE2E04">
      <w:pPr>
        <w:pStyle w:val="EndnoteText"/>
        <w:rPr>
          <w:rFonts w:asciiTheme="majorHAnsi" w:hAnsiTheme="majorHAnsi"/>
          <w:sz w:val="24"/>
          <w:szCs w:val="24"/>
        </w:rPr>
      </w:pPr>
      <w:r w:rsidRPr="003D12D2">
        <w:rPr>
          <w:rStyle w:val="EndnoteReference"/>
          <w:rFonts w:asciiTheme="majorHAnsi" w:hAnsiTheme="majorHAnsi"/>
          <w:sz w:val="24"/>
          <w:szCs w:val="24"/>
        </w:rPr>
        <w:endnoteRef/>
      </w:r>
      <w:r w:rsidRPr="003D12D2">
        <w:rPr>
          <w:rFonts w:asciiTheme="majorHAnsi" w:hAnsiTheme="majorHAnsi"/>
          <w:sz w:val="24"/>
          <w:szCs w:val="24"/>
        </w:rPr>
        <w:t xml:space="preserve"> Heseltine, </w:t>
      </w:r>
      <w:r w:rsidRPr="003D12D2">
        <w:rPr>
          <w:rFonts w:asciiTheme="majorHAnsi" w:hAnsiTheme="majorHAnsi"/>
          <w:i/>
          <w:sz w:val="24"/>
          <w:szCs w:val="24"/>
        </w:rPr>
        <w:t>Delius</w:t>
      </w:r>
      <w:r w:rsidRPr="003D12D2">
        <w:rPr>
          <w:rFonts w:asciiTheme="majorHAnsi" w:hAnsiTheme="majorHAnsi"/>
          <w:sz w:val="24"/>
          <w:szCs w:val="24"/>
        </w:rPr>
        <w:t>, pp. 155-156</w:t>
      </w:r>
    </w:p>
  </w:endnote>
  <w:endnote w:id="35">
    <w:p w:rsidR="005F23AB" w:rsidRPr="003D12D2" w:rsidRDefault="005F23AB">
      <w:pPr>
        <w:pStyle w:val="EndnoteText"/>
        <w:rPr>
          <w:rFonts w:asciiTheme="majorHAnsi" w:hAnsiTheme="majorHAnsi"/>
          <w:sz w:val="24"/>
          <w:szCs w:val="24"/>
        </w:rPr>
      </w:pPr>
      <w:r w:rsidRPr="003D12D2">
        <w:rPr>
          <w:rStyle w:val="EndnoteReference"/>
          <w:rFonts w:asciiTheme="majorHAnsi" w:hAnsiTheme="majorHAnsi"/>
          <w:sz w:val="24"/>
          <w:szCs w:val="24"/>
        </w:rPr>
        <w:endnoteRef/>
      </w:r>
      <w:r w:rsidRPr="003D12D2">
        <w:rPr>
          <w:rFonts w:asciiTheme="majorHAnsi" w:hAnsiTheme="majorHAnsi"/>
          <w:sz w:val="24"/>
          <w:szCs w:val="24"/>
        </w:rPr>
        <w:t xml:space="preserve"> Clutton-Brock, ‘On Listening to Music’, both p. </w:t>
      </w:r>
      <w:r w:rsidRPr="003D12D2">
        <w:rPr>
          <w:rFonts w:asciiTheme="majorHAnsi" w:eastAsia="Times New Roman" w:hAnsiTheme="majorHAnsi"/>
          <w:sz w:val="24"/>
          <w:szCs w:val="24"/>
        </w:rPr>
        <w:t>14</w:t>
      </w:r>
    </w:p>
  </w:endnote>
  <w:endnote w:id="36">
    <w:p w:rsidR="005F23AB" w:rsidRPr="003D12D2" w:rsidRDefault="005F23AB" w:rsidP="00FE2E04">
      <w:pPr>
        <w:pStyle w:val="EndnoteText"/>
        <w:rPr>
          <w:rFonts w:asciiTheme="majorHAnsi" w:hAnsiTheme="majorHAnsi"/>
          <w:sz w:val="24"/>
          <w:szCs w:val="24"/>
        </w:rPr>
      </w:pPr>
      <w:r w:rsidRPr="003D12D2">
        <w:rPr>
          <w:rStyle w:val="EndnoteReference"/>
          <w:rFonts w:asciiTheme="majorHAnsi" w:hAnsiTheme="majorHAnsi"/>
          <w:sz w:val="24"/>
          <w:szCs w:val="24"/>
        </w:rPr>
        <w:endnoteRef/>
      </w:r>
      <w:r w:rsidRPr="003D12D2">
        <w:rPr>
          <w:rFonts w:asciiTheme="majorHAnsi" w:hAnsiTheme="majorHAnsi"/>
          <w:sz w:val="24"/>
          <w:szCs w:val="24"/>
        </w:rPr>
        <w:t xml:space="preserve"> Clutton-Brock, ‘On Listening to Music’, respectively pp.</w:t>
      </w:r>
      <w:r w:rsidRPr="003D12D2">
        <w:rPr>
          <w:rFonts w:asciiTheme="majorHAnsi" w:eastAsia="Times New Roman" w:hAnsiTheme="majorHAnsi"/>
          <w:sz w:val="24"/>
          <w:szCs w:val="24"/>
        </w:rPr>
        <w:t xml:space="preserve"> 15 &amp; 18</w:t>
      </w:r>
    </w:p>
  </w:endnote>
  <w:endnote w:id="37">
    <w:p w:rsidR="005F23AB" w:rsidRPr="003D12D2" w:rsidRDefault="005F23AB" w:rsidP="00FE2E04">
      <w:pPr>
        <w:pStyle w:val="EndnoteText"/>
        <w:rPr>
          <w:rFonts w:asciiTheme="majorHAnsi" w:hAnsiTheme="majorHAnsi"/>
          <w:sz w:val="24"/>
          <w:szCs w:val="24"/>
        </w:rPr>
      </w:pPr>
      <w:r w:rsidRPr="003D12D2">
        <w:rPr>
          <w:rStyle w:val="EndnoteReference"/>
          <w:rFonts w:asciiTheme="majorHAnsi" w:hAnsiTheme="majorHAnsi"/>
          <w:sz w:val="24"/>
          <w:szCs w:val="24"/>
        </w:rPr>
        <w:endnoteRef/>
      </w:r>
      <w:r w:rsidRPr="003D12D2">
        <w:rPr>
          <w:rFonts w:asciiTheme="majorHAnsi" w:hAnsiTheme="majorHAnsi"/>
          <w:sz w:val="24"/>
          <w:szCs w:val="24"/>
        </w:rPr>
        <w:t xml:space="preserve"> Arthur Hutchings, </w:t>
      </w:r>
      <w:r w:rsidRPr="003D12D2">
        <w:rPr>
          <w:rFonts w:asciiTheme="majorHAnsi" w:hAnsiTheme="majorHAnsi"/>
          <w:i/>
          <w:sz w:val="24"/>
          <w:szCs w:val="24"/>
        </w:rPr>
        <w:t>Delius</w:t>
      </w:r>
      <w:r w:rsidRPr="003D12D2">
        <w:rPr>
          <w:rFonts w:asciiTheme="majorHAnsi" w:hAnsiTheme="majorHAnsi"/>
          <w:sz w:val="24"/>
          <w:szCs w:val="24"/>
        </w:rPr>
        <w:t xml:space="preserve"> (London: Macmillan, 1948), p. 93</w:t>
      </w:r>
    </w:p>
  </w:endnote>
  <w:endnote w:id="38">
    <w:p w:rsidR="005F23AB" w:rsidRPr="003D12D2" w:rsidRDefault="005F23AB" w:rsidP="00FE2E04">
      <w:pPr>
        <w:pStyle w:val="EndnoteText"/>
        <w:rPr>
          <w:rFonts w:asciiTheme="majorHAnsi" w:hAnsiTheme="majorHAnsi"/>
          <w:sz w:val="24"/>
          <w:szCs w:val="24"/>
        </w:rPr>
      </w:pPr>
      <w:r w:rsidRPr="003D12D2">
        <w:rPr>
          <w:rStyle w:val="EndnoteReference"/>
          <w:rFonts w:asciiTheme="majorHAnsi" w:hAnsiTheme="majorHAnsi"/>
          <w:sz w:val="24"/>
          <w:szCs w:val="24"/>
        </w:rPr>
        <w:endnoteRef/>
      </w:r>
      <w:r w:rsidRPr="003D12D2">
        <w:rPr>
          <w:rFonts w:asciiTheme="majorHAnsi" w:hAnsiTheme="majorHAnsi"/>
          <w:sz w:val="24"/>
          <w:szCs w:val="24"/>
        </w:rPr>
        <w:t xml:space="preserve"> Heseltine, </w:t>
      </w:r>
      <w:r w:rsidRPr="003D12D2">
        <w:rPr>
          <w:rFonts w:asciiTheme="majorHAnsi" w:hAnsiTheme="majorHAnsi"/>
          <w:i/>
          <w:sz w:val="24"/>
          <w:szCs w:val="24"/>
        </w:rPr>
        <w:t>Delius</w:t>
      </w:r>
      <w:r w:rsidRPr="003D12D2">
        <w:rPr>
          <w:rFonts w:asciiTheme="majorHAnsi" w:hAnsiTheme="majorHAnsi"/>
          <w:sz w:val="24"/>
          <w:szCs w:val="24"/>
        </w:rPr>
        <w:t>, pp. 139 &amp; 140-141</w:t>
      </w:r>
    </w:p>
  </w:endnote>
  <w:endnote w:id="39">
    <w:p w:rsidR="005F23AB" w:rsidRPr="003D12D2" w:rsidRDefault="005F23AB" w:rsidP="00FE2E04">
      <w:pPr>
        <w:pStyle w:val="EndnoteText"/>
        <w:rPr>
          <w:rFonts w:asciiTheme="majorHAnsi" w:hAnsiTheme="majorHAnsi"/>
          <w:sz w:val="24"/>
          <w:szCs w:val="24"/>
        </w:rPr>
      </w:pPr>
      <w:r w:rsidRPr="003D12D2">
        <w:rPr>
          <w:rStyle w:val="EndnoteReference"/>
          <w:rFonts w:asciiTheme="majorHAnsi" w:hAnsiTheme="majorHAnsi"/>
          <w:sz w:val="24"/>
          <w:szCs w:val="24"/>
        </w:rPr>
        <w:endnoteRef/>
      </w:r>
      <w:r w:rsidRPr="003D12D2">
        <w:rPr>
          <w:rFonts w:asciiTheme="majorHAnsi" w:hAnsiTheme="majorHAnsi"/>
          <w:sz w:val="24"/>
          <w:szCs w:val="24"/>
        </w:rPr>
        <w:t xml:space="preserve"> Neville Cardus, </w:t>
      </w:r>
      <w:r w:rsidRPr="003D12D2">
        <w:rPr>
          <w:rFonts w:asciiTheme="majorHAnsi" w:hAnsiTheme="majorHAnsi"/>
          <w:i/>
          <w:sz w:val="24"/>
          <w:szCs w:val="24"/>
        </w:rPr>
        <w:t>Talking of Music</w:t>
      </w:r>
      <w:r w:rsidRPr="003D12D2">
        <w:rPr>
          <w:rFonts w:asciiTheme="majorHAnsi" w:hAnsiTheme="majorHAnsi"/>
          <w:sz w:val="24"/>
          <w:szCs w:val="24"/>
        </w:rPr>
        <w:t xml:space="preserve"> (London: Collins, 1957), p. 178</w:t>
      </w:r>
    </w:p>
  </w:endnote>
  <w:endnote w:id="40">
    <w:p w:rsidR="005F23AB" w:rsidRPr="003D12D2" w:rsidRDefault="005F23AB" w:rsidP="00FE2E04">
      <w:pPr>
        <w:pStyle w:val="EndnoteText"/>
        <w:rPr>
          <w:rFonts w:asciiTheme="majorHAnsi" w:hAnsiTheme="majorHAnsi"/>
          <w:sz w:val="24"/>
          <w:szCs w:val="24"/>
        </w:rPr>
      </w:pPr>
      <w:r w:rsidRPr="003D12D2">
        <w:rPr>
          <w:rStyle w:val="EndnoteReference"/>
          <w:rFonts w:asciiTheme="majorHAnsi" w:hAnsiTheme="majorHAnsi"/>
          <w:sz w:val="24"/>
          <w:szCs w:val="24"/>
        </w:rPr>
        <w:endnoteRef/>
      </w:r>
      <w:r w:rsidRPr="003D12D2">
        <w:rPr>
          <w:rFonts w:asciiTheme="majorHAnsi" w:hAnsiTheme="majorHAnsi"/>
          <w:sz w:val="24"/>
          <w:szCs w:val="24"/>
        </w:rPr>
        <w:t xml:space="preserve"> Dyson, </w:t>
      </w:r>
      <w:r w:rsidRPr="003D12D2">
        <w:rPr>
          <w:rFonts w:asciiTheme="majorHAnsi" w:hAnsiTheme="majorHAnsi"/>
          <w:i/>
          <w:sz w:val="24"/>
          <w:szCs w:val="24"/>
        </w:rPr>
        <w:t>The New Music</w:t>
      </w:r>
      <w:r w:rsidRPr="003D12D2">
        <w:rPr>
          <w:rFonts w:asciiTheme="majorHAnsi" w:hAnsiTheme="majorHAnsi"/>
          <w:sz w:val="24"/>
          <w:szCs w:val="24"/>
        </w:rPr>
        <w:t>, pp. 146-147</w:t>
      </w:r>
    </w:p>
  </w:endnote>
  <w:endnote w:id="41">
    <w:p w:rsidR="005F23AB" w:rsidRPr="003D12D2" w:rsidRDefault="005F23AB" w:rsidP="00FE2E04">
      <w:pPr>
        <w:pStyle w:val="EndnoteText"/>
        <w:rPr>
          <w:rFonts w:asciiTheme="majorHAnsi" w:hAnsiTheme="majorHAnsi"/>
          <w:sz w:val="24"/>
          <w:szCs w:val="24"/>
        </w:rPr>
      </w:pPr>
      <w:r w:rsidRPr="003D12D2">
        <w:rPr>
          <w:rStyle w:val="EndnoteReference"/>
          <w:rFonts w:asciiTheme="majorHAnsi" w:hAnsiTheme="majorHAnsi"/>
          <w:sz w:val="24"/>
          <w:szCs w:val="24"/>
        </w:rPr>
        <w:endnoteRef/>
      </w:r>
      <w:r w:rsidRPr="003D12D2">
        <w:rPr>
          <w:rFonts w:asciiTheme="majorHAnsi" w:hAnsiTheme="majorHAnsi"/>
          <w:sz w:val="24"/>
          <w:szCs w:val="24"/>
        </w:rPr>
        <w:t xml:space="preserve"> Peter Heseltine, ‘Some Notes on Delius and his Music’, </w:t>
      </w:r>
      <w:r w:rsidRPr="003D12D2">
        <w:rPr>
          <w:rFonts w:asciiTheme="majorHAnsi" w:hAnsiTheme="majorHAnsi"/>
          <w:i/>
          <w:sz w:val="24"/>
          <w:szCs w:val="24"/>
        </w:rPr>
        <w:t>The Musical Times</w:t>
      </w:r>
      <w:r w:rsidRPr="003D12D2">
        <w:rPr>
          <w:rFonts w:asciiTheme="majorHAnsi" w:hAnsiTheme="majorHAnsi"/>
          <w:sz w:val="24"/>
          <w:szCs w:val="24"/>
        </w:rPr>
        <w:t xml:space="preserve"> 56/865 (March 1915), pp. 137-142 at p. 138, quoted in Collins, ‘The Composer as “Good European”‘, p. 115</w:t>
      </w:r>
    </w:p>
  </w:endnote>
  <w:endnote w:id="42">
    <w:p w:rsidR="005F23AB" w:rsidRPr="00C4517D" w:rsidRDefault="005F23AB" w:rsidP="00FE2E04">
      <w:pPr>
        <w:pStyle w:val="EndnoteText"/>
        <w:rPr>
          <w:rFonts w:asciiTheme="majorHAnsi" w:hAnsiTheme="majorHAnsi"/>
          <w:sz w:val="24"/>
          <w:szCs w:val="24"/>
        </w:rPr>
      </w:pPr>
      <w:r w:rsidRPr="003D12D2">
        <w:rPr>
          <w:rStyle w:val="EndnoteReference"/>
          <w:rFonts w:asciiTheme="majorHAnsi" w:hAnsiTheme="majorHAnsi"/>
          <w:sz w:val="24"/>
          <w:szCs w:val="24"/>
        </w:rPr>
        <w:endnoteRef/>
      </w:r>
      <w:r w:rsidR="00C4517D">
        <w:rPr>
          <w:rFonts w:asciiTheme="majorHAnsi" w:hAnsiTheme="majorHAnsi"/>
          <w:sz w:val="24"/>
          <w:szCs w:val="24"/>
        </w:rPr>
        <w:t xml:space="preserve"> Henry Cope </w:t>
      </w:r>
      <w:proofErr w:type="spellStart"/>
      <w:r w:rsidR="00C4517D">
        <w:rPr>
          <w:rFonts w:asciiTheme="majorHAnsi" w:hAnsiTheme="majorHAnsi"/>
          <w:sz w:val="24"/>
          <w:szCs w:val="24"/>
        </w:rPr>
        <w:t>Colles</w:t>
      </w:r>
      <w:proofErr w:type="spellEnd"/>
      <w:r w:rsidR="00C4517D">
        <w:rPr>
          <w:rFonts w:asciiTheme="majorHAnsi" w:hAnsiTheme="majorHAnsi"/>
          <w:sz w:val="24"/>
          <w:szCs w:val="24"/>
        </w:rPr>
        <w:t xml:space="preserve"> [writing anonymously], </w:t>
      </w:r>
      <w:r w:rsidRPr="003D12D2">
        <w:rPr>
          <w:rStyle w:val="HTMLCite"/>
          <w:rFonts w:asciiTheme="majorHAnsi" w:hAnsiTheme="majorHAnsi"/>
          <w:i w:val="0"/>
          <w:sz w:val="24"/>
          <w:szCs w:val="24"/>
          <w:lang w:val="en"/>
        </w:rPr>
        <w:t xml:space="preserve">‘The Delius Festival: A retrospect’, </w:t>
      </w:r>
      <w:r w:rsidRPr="003D12D2">
        <w:rPr>
          <w:rStyle w:val="HTMLCite"/>
          <w:rFonts w:asciiTheme="majorHAnsi" w:hAnsiTheme="majorHAnsi"/>
          <w:sz w:val="24"/>
          <w:szCs w:val="24"/>
          <w:lang w:val="en"/>
        </w:rPr>
        <w:t>The Times</w:t>
      </w:r>
      <w:r w:rsidRPr="003D12D2">
        <w:rPr>
          <w:rStyle w:val="HTMLCite"/>
          <w:rFonts w:asciiTheme="majorHAnsi" w:hAnsiTheme="majorHAnsi"/>
          <w:i w:val="0"/>
          <w:sz w:val="24"/>
          <w:szCs w:val="24"/>
          <w:lang w:val="en"/>
        </w:rPr>
        <w:t xml:space="preserve"> (2 November 1929), p. 10</w:t>
      </w:r>
    </w:p>
  </w:endnote>
  <w:endnote w:id="43">
    <w:p w:rsidR="005F23AB" w:rsidRPr="003D12D2" w:rsidRDefault="005F23AB" w:rsidP="00FE2E04">
      <w:pPr>
        <w:pStyle w:val="EndnoteText"/>
        <w:rPr>
          <w:rFonts w:asciiTheme="majorHAnsi" w:hAnsiTheme="majorHAnsi"/>
          <w:sz w:val="24"/>
          <w:szCs w:val="24"/>
        </w:rPr>
      </w:pPr>
      <w:r w:rsidRPr="003D12D2">
        <w:rPr>
          <w:rStyle w:val="EndnoteReference"/>
          <w:rFonts w:asciiTheme="majorHAnsi" w:hAnsiTheme="majorHAnsi"/>
          <w:sz w:val="24"/>
          <w:szCs w:val="24"/>
        </w:rPr>
        <w:endnoteRef/>
      </w:r>
      <w:r w:rsidRPr="003D12D2">
        <w:rPr>
          <w:rFonts w:asciiTheme="majorHAnsi" w:hAnsiTheme="majorHAnsi"/>
          <w:sz w:val="24"/>
          <w:szCs w:val="24"/>
        </w:rPr>
        <w:t xml:space="preserve"> Sarah Kirby, </w:t>
      </w:r>
      <w:r w:rsidRPr="003D12D2">
        <w:rPr>
          <w:rFonts w:asciiTheme="majorHAnsi" w:hAnsiTheme="majorHAnsi" w:cs="Calibri"/>
          <w:sz w:val="24"/>
          <w:szCs w:val="24"/>
          <w:lang w:eastAsia="en-US"/>
        </w:rPr>
        <w:t>‘Cosmopolitanism and Percy Grainger’s construction of Frederick Delius as an American “Anglo-Saxon”’, paper at ‘Rethinking Delius: A Critical Symposium’, British Library, London, 15 July 2016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de">
    <w:altName w:val="Cod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3AB" w:rsidRDefault="005F23AB" w:rsidP="00937992">
      <w:r>
        <w:separator/>
      </w:r>
    </w:p>
  </w:footnote>
  <w:footnote w:type="continuationSeparator" w:id="0">
    <w:p w:rsidR="005F23AB" w:rsidRDefault="005F23AB" w:rsidP="009379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0475397"/>
      <w:docPartObj>
        <w:docPartGallery w:val="Page Numbers (Top of Page)"/>
        <w:docPartUnique/>
      </w:docPartObj>
    </w:sdtPr>
    <w:sdtEndPr>
      <w:rPr>
        <w:noProof/>
      </w:rPr>
    </w:sdtEndPr>
    <w:sdtContent>
      <w:p w:rsidR="005F23AB" w:rsidRDefault="005F23AB">
        <w:pPr>
          <w:pStyle w:val="Header"/>
          <w:jc w:val="right"/>
        </w:pPr>
        <w:r>
          <w:fldChar w:fldCharType="begin"/>
        </w:r>
        <w:r>
          <w:instrText xml:space="preserve"> PAGE   \* MERGEFORMAT </w:instrText>
        </w:r>
        <w:r>
          <w:fldChar w:fldCharType="separate"/>
        </w:r>
        <w:r w:rsidR="00B8680F">
          <w:rPr>
            <w:noProof/>
          </w:rPr>
          <w:t>15</w:t>
        </w:r>
        <w:r>
          <w:rPr>
            <w:noProof/>
          </w:rPr>
          <w:fldChar w:fldCharType="end"/>
        </w:r>
      </w:p>
    </w:sdtContent>
  </w:sdt>
  <w:p w:rsidR="005F23AB" w:rsidRDefault="005F23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F581B"/>
    <w:multiLevelType w:val="multilevel"/>
    <w:tmpl w:val="80A836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5B4"/>
    <w:rsid w:val="00007236"/>
    <w:rsid w:val="00024173"/>
    <w:rsid w:val="00025F79"/>
    <w:rsid w:val="00030B48"/>
    <w:rsid w:val="00097877"/>
    <w:rsid w:val="000B239F"/>
    <w:rsid w:val="000D1D73"/>
    <w:rsid w:val="000E14CE"/>
    <w:rsid w:val="000E775F"/>
    <w:rsid w:val="0010137B"/>
    <w:rsid w:val="0010256B"/>
    <w:rsid w:val="00113625"/>
    <w:rsid w:val="001327A8"/>
    <w:rsid w:val="00147606"/>
    <w:rsid w:val="00151DAF"/>
    <w:rsid w:val="00160268"/>
    <w:rsid w:val="00167441"/>
    <w:rsid w:val="001A0F40"/>
    <w:rsid w:val="001B33CD"/>
    <w:rsid w:val="001B695D"/>
    <w:rsid w:val="001F4259"/>
    <w:rsid w:val="001F4506"/>
    <w:rsid w:val="00214E8E"/>
    <w:rsid w:val="002159E5"/>
    <w:rsid w:val="00227566"/>
    <w:rsid w:val="002644A3"/>
    <w:rsid w:val="00280C8F"/>
    <w:rsid w:val="00282405"/>
    <w:rsid w:val="00293927"/>
    <w:rsid w:val="002B5EBF"/>
    <w:rsid w:val="002E2047"/>
    <w:rsid w:val="00303A15"/>
    <w:rsid w:val="00314B09"/>
    <w:rsid w:val="003536D5"/>
    <w:rsid w:val="00355BAE"/>
    <w:rsid w:val="003632D0"/>
    <w:rsid w:val="00363D20"/>
    <w:rsid w:val="0037295C"/>
    <w:rsid w:val="003830A6"/>
    <w:rsid w:val="00394BDF"/>
    <w:rsid w:val="00396644"/>
    <w:rsid w:val="003C36EE"/>
    <w:rsid w:val="003D12D2"/>
    <w:rsid w:val="003D2A2F"/>
    <w:rsid w:val="003D2F47"/>
    <w:rsid w:val="003D6E47"/>
    <w:rsid w:val="003E128A"/>
    <w:rsid w:val="003E2FF3"/>
    <w:rsid w:val="003E327C"/>
    <w:rsid w:val="003F58C8"/>
    <w:rsid w:val="004037DD"/>
    <w:rsid w:val="00406A5A"/>
    <w:rsid w:val="00422829"/>
    <w:rsid w:val="0044419E"/>
    <w:rsid w:val="004562D9"/>
    <w:rsid w:val="00486889"/>
    <w:rsid w:val="004B6DD9"/>
    <w:rsid w:val="004C5F13"/>
    <w:rsid w:val="004F7E3A"/>
    <w:rsid w:val="00504036"/>
    <w:rsid w:val="0052612C"/>
    <w:rsid w:val="00526EE2"/>
    <w:rsid w:val="005308E9"/>
    <w:rsid w:val="005434C4"/>
    <w:rsid w:val="00546141"/>
    <w:rsid w:val="005638BB"/>
    <w:rsid w:val="00570DC2"/>
    <w:rsid w:val="0059283A"/>
    <w:rsid w:val="005A0455"/>
    <w:rsid w:val="005A1361"/>
    <w:rsid w:val="005A3ABB"/>
    <w:rsid w:val="005B01B6"/>
    <w:rsid w:val="005B0FB6"/>
    <w:rsid w:val="005B444C"/>
    <w:rsid w:val="005D115B"/>
    <w:rsid w:val="005D2397"/>
    <w:rsid w:val="005E18A2"/>
    <w:rsid w:val="005F23AB"/>
    <w:rsid w:val="00612151"/>
    <w:rsid w:val="006226A5"/>
    <w:rsid w:val="00627074"/>
    <w:rsid w:val="00645C8C"/>
    <w:rsid w:val="00672F3C"/>
    <w:rsid w:val="00687BC3"/>
    <w:rsid w:val="0069117D"/>
    <w:rsid w:val="0072679E"/>
    <w:rsid w:val="0075359C"/>
    <w:rsid w:val="00772FB0"/>
    <w:rsid w:val="007849CE"/>
    <w:rsid w:val="00785EF5"/>
    <w:rsid w:val="007B11AB"/>
    <w:rsid w:val="007D42AB"/>
    <w:rsid w:val="007E19BC"/>
    <w:rsid w:val="0081685B"/>
    <w:rsid w:val="00824EF3"/>
    <w:rsid w:val="00836733"/>
    <w:rsid w:val="00840F68"/>
    <w:rsid w:val="00846298"/>
    <w:rsid w:val="0084720B"/>
    <w:rsid w:val="0084769A"/>
    <w:rsid w:val="00852493"/>
    <w:rsid w:val="00880540"/>
    <w:rsid w:val="008A31EA"/>
    <w:rsid w:val="008B0592"/>
    <w:rsid w:val="008B2C1A"/>
    <w:rsid w:val="008B7BC2"/>
    <w:rsid w:val="008C1CB6"/>
    <w:rsid w:val="00937992"/>
    <w:rsid w:val="009425B4"/>
    <w:rsid w:val="0097717F"/>
    <w:rsid w:val="009A5DE9"/>
    <w:rsid w:val="009F4378"/>
    <w:rsid w:val="00A24F59"/>
    <w:rsid w:val="00A534C5"/>
    <w:rsid w:val="00A57281"/>
    <w:rsid w:val="00A9314C"/>
    <w:rsid w:val="00AD7A8B"/>
    <w:rsid w:val="00AE12D2"/>
    <w:rsid w:val="00AF727D"/>
    <w:rsid w:val="00B039EE"/>
    <w:rsid w:val="00B144D7"/>
    <w:rsid w:val="00B17ECD"/>
    <w:rsid w:val="00B21E3D"/>
    <w:rsid w:val="00B4367D"/>
    <w:rsid w:val="00B62493"/>
    <w:rsid w:val="00B76BC5"/>
    <w:rsid w:val="00B834D4"/>
    <w:rsid w:val="00B84170"/>
    <w:rsid w:val="00B8680F"/>
    <w:rsid w:val="00B95F89"/>
    <w:rsid w:val="00BB21B3"/>
    <w:rsid w:val="00BB76C5"/>
    <w:rsid w:val="00BD3E3F"/>
    <w:rsid w:val="00BE6476"/>
    <w:rsid w:val="00BF2B9F"/>
    <w:rsid w:val="00C01333"/>
    <w:rsid w:val="00C0787A"/>
    <w:rsid w:val="00C25722"/>
    <w:rsid w:val="00C27B50"/>
    <w:rsid w:val="00C4517D"/>
    <w:rsid w:val="00C56257"/>
    <w:rsid w:val="00C71606"/>
    <w:rsid w:val="00C73A45"/>
    <w:rsid w:val="00C75407"/>
    <w:rsid w:val="00C8220D"/>
    <w:rsid w:val="00CB08A6"/>
    <w:rsid w:val="00CF1365"/>
    <w:rsid w:val="00D00059"/>
    <w:rsid w:val="00D051CB"/>
    <w:rsid w:val="00D21103"/>
    <w:rsid w:val="00D3525D"/>
    <w:rsid w:val="00D70829"/>
    <w:rsid w:val="00DA5AD9"/>
    <w:rsid w:val="00DE7A06"/>
    <w:rsid w:val="00DE7BBD"/>
    <w:rsid w:val="00E60AC0"/>
    <w:rsid w:val="00E92702"/>
    <w:rsid w:val="00EB0999"/>
    <w:rsid w:val="00EC37A2"/>
    <w:rsid w:val="00EF4226"/>
    <w:rsid w:val="00F004B0"/>
    <w:rsid w:val="00F20534"/>
    <w:rsid w:val="00F21D72"/>
    <w:rsid w:val="00F31AEC"/>
    <w:rsid w:val="00F35D15"/>
    <w:rsid w:val="00F50375"/>
    <w:rsid w:val="00F636FC"/>
    <w:rsid w:val="00F82399"/>
    <w:rsid w:val="00FD0AA3"/>
    <w:rsid w:val="00FD23EC"/>
    <w:rsid w:val="00FE2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5B4"/>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0978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8B2C1A"/>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25B4"/>
    <w:rPr>
      <w:color w:val="0000FF"/>
      <w:u w:val="single"/>
    </w:rPr>
  </w:style>
  <w:style w:type="paragraph" w:styleId="NormalWeb">
    <w:name w:val="Normal (Web)"/>
    <w:basedOn w:val="Normal"/>
    <w:uiPriority w:val="99"/>
    <w:unhideWhenUsed/>
    <w:rsid w:val="009425B4"/>
    <w:pPr>
      <w:spacing w:before="100" w:beforeAutospacing="1" w:after="100" w:afterAutospacing="1"/>
    </w:pPr>
  </w:style>
  <w:style w:type="paragraph" w:styleId="ListParagraph">
    <w:name w:val="List Paragraph"/>
    <w:basedOn w:val="Normal"/>
    <w:uiPriority w:val="34"/>
    <w:qFormat/>
    <w:rsid w:val="005A0455"/>
    <w:pPr>
      <w:ind w:left="720"/>
      <w:contextualSpacing/>
    </w:pPr>
  </w:style>
  <w:style w:type="paragraph" w:styleId="EndnoteText">
    <w:name w:val="endnote text"/>
    <w:basedOn w:val="Normal"/>
    <w:link w:val="EndnoteTextChar"/>
    <w:uiPriority w:val="99"/>
    <w:unhideWhenUsed/>
    <w:rsid w:val="00937992"/>
    <w:rPr>
      <w:sz w:val="20"/>
      <w:szCs w:val="20"/>
    </w:rPr>
  </w:style>
  <w:style w:type="character" w:customStyle="1" w:styleId="EndnoteTextChar">
    <w:name w:val="Endnote Text Char"/>
    <w:basedOn w:val="DefaultParagraphFont"/>
    <w:link w:val="EndnoteText"/>
    <w:uiPriority w:val="99"/>
    <w:rsid w:val="00937992"/>
    <w:rPr>
      <w:rFonts w:ascii="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937992"/>
    <w:rPr>
      <w:vertAlign w:val="superscript"/>
    </w:rPr>
  </w:style>
  <w:style w:type="character" w:styleId="HTMLCite">
    <w:name w:val="HTML Cite"/>
    <w:basedOn w:val="DefaultParagraphFont"/>
    <w:uiPriority w:val="99"/>
    <w:semiHidden/>
    <w:unhideWhenUsed/>
    <w:rsid w:val="008B2C1A"/>
    <w:rPr>
      <w:i/>
      <w:iCs/>
    </w:rPr>
  </w:style>
  <w:style w:type="character" w:customStyle="1" w:styleId="Heading3Char">
    <w:name w:val="Heading 3 Char"/>
    <w:basedOn w:val="DefaultParagraphFont"/>
    <w:link w:val="Heading3"/>
    <w:uiPriority w:val="9"/>
    <w:rsid w:val="008B2C1A"/>
    <w:rPr>
      <w:rFonts w:ascii="Times New Roman" w:eastAsia="Times New Roman" w:hAnsi="Times New Roman" w:cs="Times New Roman"/>
      <w:b/>
      <w:bCs/>
      <w:sz w:val="27"/>
      <w:szCs w:val="27"/>
      <w:lang w:eastAsia="en-GB"/>
    </w:rPr>
  </w:style>
  <w:style w:type="character" w:customStyle="1" w:styleId="mw-headline">
    <w:name w:val="mw-headline"/>
    <w:basedOn w:val="DefaultParagraphFont"/>
    <w:rsid w:val="008B2C1A"/>
  </w:style>
  <w:style w:type="character" w:customStyle="1" w:styleId="mw-editsection1">
    <w:name w:val="mw-editsection1"/>
    <w:basedOn w:val="DefaultParagraphFont"/>
    <w:rsid w:val="008B2C1A"/>
  </w:style>
  <w:style w:type="character" w:customStyle="1" w:styleId="mw-editsection-bracket">
    <w:name w:val="mw-editsection-bracket"/>
    <w:basedOn w:val="DefaultParagraphFont"/>
    <w:rsid w:val="008B2C1A"/>
  </w:style>
  <w:style w:type="paragraph" w:styleId="BalloonText">
    <w:name w:val="Balloon Text"/>
    <w:basedOn w:val="Normal"/>
    <w:link w:val="BalloonTextChar"/>
    <w:uiPriority w:val="99"/>
    <w:semiHidden/>
    <w:unhideWhenUsed/>
    <w:rsid w:val="008B2C1A"/>
    <w:rPr>
      <w:rFonts w:ascii="Tahoma" w:hAnsi="Tahoma" w:cs="Tahoma"/>
      <w:sz w:val="16"/>
      <w:szCs w:val="16"/>
    </w:rPr>
  </w:style>
  <w:style w:type="character" w:customStyle="1" w:styleId="BalloonTextChar">
    <w:name w:val="Balloon Text Char"/>
    <w:basedOn w:val="DefaultParagraphFont"/>
    <w:link w:val="BalloonText"/>
    <w:uiPriority w:val="99"/>
    <w:semiHidden/>
    <w:rsid w:val="008B2C1A"/>
    <w:rPr>
      <w:rFonts w:ascii="Tahoma" w:hAnsi="Tahoma" w:cs="Tahoma"/>
      <w:sz w:val="16"/>
      <w:szCs w:val="16"/>
      <w:lang w:eastAsia="en-GB"/>
    </w:rPr>
  </w:style>
  <w:style w:type="character" w:customStyle="1" w:styleId="Heading1Char">
    <w:name w:val="Heading 1 Char"/>
    <w:basedOn w:val="DefaultParagraphFont"/>
    <w:link w:val="Heading1"/>
    <w:uiPriority w:val="9"/>
    <w:rsid w:val="00097877"/>
    <w:rPr>
      <w:rFonts w:asciiTheme="majorHAnsi" w:eastAsiaTheme="majorEastAsia" w:hAnsiTheme="majorHAnsi" w:cstheme="majorBidi"/>
      <w:b/>
      <w:bCs/>
      <w:color w:val="365F91" w:themeColor="accent1" w:themeShade="BF"/>
      <w:sz w:val="28"/>
      <w:szCs w:val="28"/>
      <w:lang w:eastAsia="en-GB"/>
    </w:rPr>
  </w:style>
  <w:style w:type="character" w:customStyle="1" w:styleId="addmd1">
    <w:name w:val="addmd1"/>
    <w:basedOn w:val="DefaultParagraphFont"/>
    <w:rsid w:val="00097877"/>
    <w:rPr>
      <w:sz w:val="20"/>
      <w:szCs w:val="20"/>
    </w:rPr>
  </w:style>
  <w:style w:type="paragraph" w:styleId="Header">
    <w:name w:val="header"/>
    <w:basedOn w:val="Normal"/>
    <w:link w:val="HeaderChar"/>
    <w:uiPriority w:val="99"/>
    <w:unhideWhenUsed/>
    <w:rsid w:val="00D3525D"/>
    <w:pPr>
      <w:tabs>
        <w:tab w:val="center" w:pos="4513"/>
        <w:tab w:val="right" w:pos="9026"/>
      </w:tabs>
    </w:pPr>
  </w:style>
  <w:style w:type="character" w:customStyle="1" w:styleId="HeaderChar">
    <w:name w:val="Header Char"/>
    <w:basedOn w:val="DefaultParagraphFont"/>
    <w:link w:val="Header"/>
    <w:uiPriority w:val="99"/>
    <w:rsid w:val="00D3525D"/>
    <w:rPr>
      <w:rFonts w:ascii="Times New Roman" w:hAnsi="Times New Roman" w:cs="Times New Roman"/>
      <w:sz w:val="24"/>
      <w:szCs w:val="24"/>
      <w:lang w:eastAsia="en-GB"/>
    </w:rPr>
  </w:style>
  <w:style w:type="paragraph" w:styleId="Footer">
    <w:name w:val="footer"/>
    <w:basedOn w:val="Normal"/>
    <w:link w:val="FooterChar"/>
    <w:uiPriority w:val="99"/>
    <w:unhideWhenUsed/>
    <w:rsid w:val="00D3525D"/>
    <w:pPr>
      <w:tabs>
        <w:tab w:val="center" w:pos="4513"/>
        <w:tab w:val="right" w:pos="9026"/>
      </w:tabs>
    </w:pPr>
  </w:style>
  <w:style w:type="character" w:customStyle="1" w:styleId="FooterChar">
    <w:name w:val="Footer Char"/>
    <w:basedOn w:val="DefaultParagraphFont"/>
    <w:link w:val="Footer"/>
    <w:uiPriority w:val="99"/>
    <w:rsid w:val="00D3525D"/>
    <w:rPr>
      <w:rFonts w:ascii="Times New Roman" w:hAnsi="Times New Roman" w:cs="Times New Roman"/>
      <w:sz w:val="24"/>
      <w:szCs w:val="24"/>
      <w:lang w:eastAsia="en-GB"/>
    </w:rPr>
  </w:style>
  <w:style w:type="paragraph" w:styleId="PlainText">
    <w:name w:val="Plain Text"/>
    <w:basedOn w:val="Normal"/>
    <w:link w:val="PlainTextChar"/>
    <w:uiPriority w:val="99"/>
    <w:unhideWhenUsed/>
    <w:rsid w:val="0075359C"/>
    <w:rPr>
      <w:rFonts w:ascii="Calibri" w:hAnsi="Calibri" w:cstheme="minorBidi"/>
      <w:sz w:val="22"/>
      <w:szCs w:val="21"/>
      <w:lang w:eastAsia="en-US"/>
    </w:rPr>
  </w:style>
  <w:style w:type="character" w:customStyle="1" w:styleId="PlainTextChar">
    <w:name w:val="Plain Text Char"/>
    <w:basedOn w:val="DefaultParagraphFont"/>
    <w:link w:val="PlainText"/>
    <w:uiPriority w:val="99"/>
    <w:rsid w:val="0075359C"/>
    <w:rPr>
      <w:rFonts w:ascii="Calibri" w:hAnsi="Calibri"/>
      <w:szCs w:val="21"/>
    </w:rPr>
  </w:style>
  <w:style w:type="character" w:customStyle="1" w:styleId="apple-converted-space">
    <w:name w:val="apple-converted-space"/>
    <w:basedOn w:val="DefaultParagraphFont"/>
    <w:rsid w:val="001F4259"/>
  </w:style>
  <w:style w:type="paragraph" w:customStyle="1" w:styleId="Default">
    <w:name w:val="Default"/>
    <w:rsid w:val="00F004B0"/>
    <w:pPr>
      <w:autoSpaceDE w:val="0"/>
      <w:autoSpaceDN w:val="0"/>
      <w:adjustRightInd w:val="0"/>
      <w:spacing w:after="0" w:line="240" w:lineRule="auto"/>
    </w:pPr>
    <w:rPr>
      <w:rFonts w:ascii="Code" w:hAnsi="Code" w:cs="Cod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5B4"/>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0978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8B2C1A"/>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25B4"/>
    <w:rPr>
      <w:color w:val="0000FF"/>
      <w:u w:val="single"/>
    </w:rPr>
  </w:style>
  <w:style w:type="paragraph" w:styleId="NormalWeb">
    <w:name w:val="Normal (Web)"/>
    <w:basedOn w:val="Normal"/>
    <w:uiPriority w:val="99"/>
    <w:unhideWhenUsed/>
    <w:rsid w:val="009425B4"/>
    <w:pPr>
      <w:spacing w:before="100" w:beforeAutospacing="1" w:after="100" w:afterAutospacing="1"/>
    </w:pPr>
  </w:style>
  <w:style w:type="paragraph" w:styleId="ListParagraph">
    <w:name w:val="List Paragraph"/>
    <w:basedOn w:val="Normal"/>
    <w:uiPriority w:val="34"/>
    <w:qFormat/>
    <w:rsid w:val="005A0455"/>
    <w:pPr>
      <w:ind w:left="720"/>
      <w:contextualSpacing/>
    </w:pPr>
  </w:style>
  <w:style w:type="paragraph" w:styleId="EndnoteText">
    <w:name w:val="endnote text"/>
    <w:basedOn w:val="Normal"/>
    <w:link w:val="EndnoteTextChar"/>
    <w:uiPriority w:val="99"/>
    <w:unhideWhenUsed/>
    <w:rsid w:val="00937992"/>
    <w:rPr>
      <w:sz w:val="20"/>
      <w:szCs w:val="20"/>
    </w:rPr>
  </w:style>
  <w:style w:type="character" w:customStyle="1" w:styleId="EndnoteTextChar">
    <w:name w:val="Endnote Text Char"/>
    <w:basedOn w:val="DefaultParagraphFont"/>
    <w:link w:val="EndnoteText"/>
    <w:uiPriority w:val="99"/>
    <w:rsid w:val="00937992"/>
    <w:rPr>
      <w:rFonts w:ascii="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937992"/>
    <w:rPr>
      <w:vertAlign w:val="superscript"/>
    </w:rPr>
  </w:style>
  <w:style w:type="character" w:styleId="HTMLCite">
    <w:name w:val="HTML Cite"/>
    <w:basedOn w:val="DefaultParagraphFont"/>
    <w:uiPriority w:val="99"/>
    <w:semiHidden/>
    <w:unhideWhenUsed/>
    <w:rsid w:val="008B2C1A"/>
    <w:rPr>
      <w:i/>
      <w:iCs/>
    </w:rPr>
  </w:style>
  <w:style w:type="character" w:customStyle="1" w:styleId="Heading3Char">
    <w:name w:val="Heading 3 Char"/>
    <w:basedOn w:val="DefaultParagraphFont"/>
    <w:link w:val="Heading3"/>
    <w:uiPriority w:val="9"/>
    <w:rsid w:val="008B2C1A"/>
    <w:rPr>
      <w:rFonts w:ascii="Times New Roman" w:eastAsia="Times New Roman" w:hAnsi="Times New Roman" w:cs="Times New Roman"/>
      <w:b/>
      <w:bCs/>
      <w:sz w:val="27"/>
      <w:szCs w:val="27"/>
      <w:lang w:eastAsia="en-GB"/>
    </w:rPr>
  </w:style>
  <w:style w:type="character" w:customStyle="1" w:styleId="mw-headline">
    <w:name w:val="mw-headline"/>
    <w:basedOn w:val="DefaultParagraphFont"/>
    <w:rsid w:val="008B2C1A"/>
  </w:style>
  <w:style w:type="character" w:customStyle="1" w:styleId="mw-editsection1">
    <w:name w:val="mw-editsection1"/>
    <w:basedOn w:val="DefaultParagraphFont"/>
    <w:rsid w:val="008B2C1A"/>
  </w:style>
  <w:style w:type="character" w:customStyle="1" w:styleId="mw-editsection-bracket">
    <w:name w:val="mw-editsection-bracket"/>
    <w:basedOn w:val="DefaultParagraphFont"/>
    <w:rsid w:val="008B2C1A"/>
  </w:style>
  <w:style w:type="paragraph" w:styleId="BalloonText">
    <w:name w:val="Balloon Text"/>
    <w:basedOn w:val="Normal"/>
    <w:link w:val="BalloonTextChar"/>
    <w:uiPriority w:val="99"/>
    <w:semiHidden/>
    <w:unhideWhenUsed/>
    <w:rsid w:val="008B2C1A"/>
    <w:rPr>
      <w:rFonts w:ascii="Tahoma" w:hAnsi="Tahoma" w:cs="Tahoma"/>
      <w:sz w:val="16"/>
      <w:szCs w:val="16"/>
    </w:rPr>
  </w:style>
  <w:style w:type="character" w:customStyle="1" w:styleId="BalloonTextChar">
    <w:name w:val="Balloon Text Char"/>
    <w:basedOn w:val="DefaultParagraphFont"/>
    <w:link w:val="BalloonText"/>
    <w:uiPriority w:val="99"/>
    <w:semiHidden/>
    <w:rsid w:val="008B2C1A"/>
    <w:rPr>
      <w:rFonts w:ascii="Tahoma" w:hAnsi="Tahoma" w:cs="Tahoma"/>
      <w:sz w:val="16"/>
      <w:szCs w:val="16"/>
      <w:lang w:eastAsia="en-GB"/>
    </w:rPr>
  </w:style>
  <w:style w:type="character" w:customStyle="1" w:styleId="Heading1Char">
    <w:name w:val="Heading 1 Char"/>
    <w:basedOn w:val="DefaultParagraphFont"/>
    <w:link w:val="Heading1"/>
    <w:uiPriority w:val="9"/>
    <w:rsid w:val="00097877"/>
    <w:rPr>
      <w:rFonts w:asciiTheme="majorHAnsi" w:eastAsiaTheme="majorEastAsia" w:hAnsiTheme="majorHAnsi" w:cstheme="majorBidi"/>
      <w:b/>
      <w:bCs/>
      <w:color w:val="365F91" w:themeColor="accent1" w:themeShade="BF"/>
      <w:sz w:val="28"/>
      <w:szCs w:val="28"/>
      <w:lang w:eastAsia="en-GB"/>
    </w:rPr>
  </w:style>
  <w:style w:type="character" w:customStyle="1" w:styleId="addmd1">
    <w:name w:val="addmd1"/>
    <w:basedOn w:val="DefaultParagraphFont"/>
    <w:rsid w:val="00097877"/>
    <w:rPr>
      <w:sz w:val="20"/>
      <w:szCs w:val="20"/>
    </w:rPr>
  </w:style>
  <w:style w:type="paragraph" w:styleId="Header">
    <w:name w:val="header"/>
    <w:basedOn w:val="Normal"/>
    <w:link w:val="HeaderChar"/>
    <w:uiPriority w:val="99"/>
    <w:unhideWhenUsed/>
    <w:rsid w:val="00D3525D"/>
    <w:pPr>
      <w:tabs>
        <w:tab w:val="center" w:pos="4513"/>
        <w:tab w:val="right" w:pos="9026"/>
      </w:tabs>
    </w:pPr>
  </w:style>
  <w:style w:type="character" w:customStyle="1" w:styleId="HeaderChar">
    <w:name w:val="Header Char"/>
    <w:basedOn w:val="DefaultParagraphFont"/>
    <w:link w:val="Header"/>
    <w:uiPriority w:val="99"/>
    <w:rsid w:val="00D3525D"/>
    <w:rPr>
      <w:rFonts w:ascii="Times New Roman" w:hAnsi="Times New Roman" w:cs="Times New Roman"/>
      <w:sz w:val="24"/>
      <w:szCs w:val="24"/>
      <w:lang w:eastAsia="en-GB"/>
    </w:rPr>
  </w:style>
  <w:style w:type="paragraph" w:styleId="Footer">
    <w:name w:val="footer"/>
    <w:basedOn w:val="Normal"/>
    <w:link w:val="FooterChar"/>
    <w:uiPriority w:val="99"/>
    <w:unhideWhenUsed/>
    <w:rsid w:val="00D3525D"/>
    <w:pPr>
      <w:tabs>
        <w:tab w:val="center" w:pos="4513"/>
        <w:tab w:val="right" w:pos="9026"/>
      </w:tabs>
    </w:pPr>
  </w:style>
  <w:style w:type="character" w:customStyle="1" w:styleId="FooterChar">
    <w:name w:val="Footer Char"/>
    <w:basedOn w:val="DefaultParagraphFont"/>
    <w:link w:val="Footer"/>
    <w:uiPriority w:val="99"/>
    <w:rsid w:val="00D3525D"/>
    <w:rPr>
      <w:rFonts w:ascii="Times New Roman" w:hAnsi="Times New Roman" w:cs="Times New Roman"/>
      <w:sz w:val="24"/>
      <w:szCs w:val="24"/>
      <w:lang w:eastAsia="en-GB"/>
    </w:rPr>
  </w:style>
  <w:style w:type="paragraph" w:styleId="PlainText">
    <w:name w:val="Plain Text"/>
    <w:basedOn w:val="Normal"/>
    <w:link w:val="PlainTextChar"/>
    <w:uiPriority w:val="99"/>
    <w:unhideWhenUsed/>
    <w:rsid w:val="0075359C"/>
    <w:rPr>
      <w:rFonts w:ascii="Calibri" w:hAnsi="Calibri" w:cstheme="minorBidi"/>
      <w:sz w:val="22"/>
      <w:szCs w:val="21"/>
      <w:lang w:eastAsia="en-US"/>
    </w:rPr>
  </w:style>
  <w:style w:type="character" w:customStyle="1" w:styleId="PlainTextChar">
    <w:name w:val="Plain Text Char"/>
    <w:basedOn w:val="DefaultParagraphFont"/>
    <w:link w:val="PlainText"/>
    <w:uiPriority w:val="99"/>
    <w:rsid w:val="0075359C"/>
    <w:rPr>
      <w:rFonts w:ascii="Calibri" w:hAnsi="Calibri"/>
      <w:szCs w:val="21"/>
    </w:rPr>
  </w:style>
  <w:style w:type="character" w:customStyle="1" w:styleId="apple-converted-space">
    <w:name w:val="apple-converted-space"/>
    <w:basedOn w:val="DefaultParagraphFont"/>
    <w:rsid w:val="001F4259"/>
  </w:style>
  <w:style w:type="paragraph" w:customStyle="1" w:styleId="Default">
    <w:name w:val="Default"/>
    <w:rsid w:val="00F004B0"/>
    <w:pPr>
      <w:autoSpaceDE w:val="0"/>
      <w:autoSpaceDN w:val="0"/>
      <w:adjustRightInd w:val="0"/>
      <w:spacing w:after="0" w:line="240" w:lineRule="auto"/>
    </w:pPr>
    <w:rPr>
      <w:rFonts w:ascii="Code" w:hAnsi="Code" w:cs="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424603">
      <w:bodyDiv w:val="1"/>
      <w:marLeft w:val="0"/>
      <w:marRight w:val="0"/>
      <w:marTop w:val="0"/>
      <w:marBottom w:val="0"/>
      <w:divBdr>
        <w:top w:val="none" w:sz="0" w:space="0" w:color="auto"/>
        <w:left w:val="none" w:sz="0" w:space="0" w:color="auto"/>
        <w:bottom w:val="none" w:sz="0" w:space="0" w:color="auto"/>
        <w:right w:val="none" w:sz="0" w:space="0" w:color="auto"/>
      </w:divBdr>
      <w:divsChild>
        <w:div w:id="75827838">
          <w:marLeft w:val="0"/>
          <w:marRight w:val="0"/>
          <w:marTop w:val="0"/>
          <w:marBottom w:val="0"/>
          <w:divBdr>
            <w:top w:val="none" w:sz="0" w:space="0" w:color="auto"/>
            <w:left w:val="none" w:sz="0" w:space="0" w:color="auto"/>
            <w:bottom w:val="none" w:sz="0" w:space="0" w:color="auto"/>
            <w:right w:val="none" w:sz="0" w:space="0" w:color="auto"/>
          </w:divBdr>
          <w:divsChild>
            <w:div w:id="1953318683">
              <w:marLeft w:val="0"/>
              <w:marRight w:val="0"/>
              <w:marTop w:val="0"/>
              <w:marBottom w:val="0"/>
              <w:divBdr>
                <w:top w:val="none" w:sz="0" w:space="0" w:color="auto"/>
                <w:left w:val="none" w:sz="0" w:space="0" w:color="auto"/>
                <w:bottom w:val="none" w:sz="0" w:space="0" w:color="auto"/>
                <w:right w:val="none" w:sz="0" w:space="0" w:color="auto"/>
              </w:divBdr>
              <w:divsChild>
                <w:div w:id="380129072">
                  <w:marLeft w:val="0"/>
                  <w:marRight w:val="0"/>
                  <w:marTop w:val="0"/>
                  <w:marBottom w:val="0"/>
                  <w:divBdr>
                    <w:top w:val="none" w:sz="0" w:space="0" w:color="auto"/>
                    <w:left w:val="none" w:sz="0" w:space="0" w:color="auto"/>
                    <w:bottom w:val="none" w:sz="0" w:space="0" w:color="auto"/>
                    <w:right w:val="none" w:sz="0" w:space="0" w:color="auto"/>
                  </w:divBdr>
                  <w:divsChild>
                    <w:div w:id="10361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373593">
      <w:bodyDiv w:val="1"/>
      <w:marLeft w:val="0"/>
      <w:marRight w:val="0"/>
      <w:marTop w:val="0"/>
      <w:marBottom w:val="0"/>
      <w:divBdr>
        <w:top w:val="none" w:sz="0" w:space="0" w:color="auto"/>
        <w:left w:val="none" w:sz="0" w:space="0" w:color="auto"/>
        <w:bottom w:val="none" w:sz="0" w:space="0" w:color="auto"/>
        <w:right w:val="none" w:sz="0" w:space="0" w:color="auto"/>
      </w:divBdr>
    </w:div>
    <w:div w:id="849611018">
      <w:bodyDiv w:val="1"/>
      <w:marLeft w:val="0"/>
      <w:marRight w:val="0"/>
      <w:marTop w:val="0"/>
      <w:marBottom w:val="0"/>
      <w:divBdr>
        <w:top w:val="none" w:sz="0" w:space="0" w:color="auto"/>
        <w:left w:val="none" w:sz="0" w:space="0" w:color="auto"/>
        <w:bottom w:val="none" w:sz="0" w:space="0" w:color="auto"/>
        <w:right w:val="none" w:sz="0" w:space="0" w:color="auto"/>
      </w:divBdr>
      <w:divsChild>
        <w:div w:id="1721053325">
          <w:marLeft w:val="0"/>
          <w:marRight w:val="0"/>
          <w:marTop w:val="0"/>
          <w:marBottom w:val="0"/>
          <w:divBdr>
            <w:top w:val="single" w:sz="6" w:space="0" w:color="EBEBEB"/>
            <w:left w:val="none" w:sz="0" w:space="0" w:color="auto"/>
            <w:bottom w:val="none" w:sz="0" w:space="0" w:color="auto"/>
            <w:right w:val="none" w:sz="0" w:space="0" w:color="auto"/>
          </w:divBdr>
          <w:divsChild>
            <w:div w:id="1196190663">
              <w:marLeft w:val="0"/>
              <w:marRight w:val="0"/>
              <w:marTop w:val="0"/>
              <w:marBottom w:val="0"/>
              <w:divBdr>
                <w:top w:val="none" w:sz="0" w:space="0" w:color="auto"/>
                <w:left w:val="none" w:sz="0" w:space="0" w:color="auto"/>
                <w:bottom w:val="none" w:sz="0" w:space="0" w:color="auto"/>
                <w:right w:val="none" w:sz="0" w:space="0" w:color="auto"/>
              </w:divBdr>
              <w:divsChild>
                <w:div w:id="1052776388">
                  <w:marLeft w:val="0"/>
                  <w:marRight w:val="0"/>
                  <w:marTop w:val="0"/>
                  <w:marBottom w:val="0"/>
                  <w:divBdr>
                    <w:top w:val="none" w:sz="0" w:space="0" w:color="auto"/>
                    <w:left w:val="none" w:sz="0" w:space="0" w:color="auto"/>
                    <w:bottom w:val="none" w:sz="0" w:space="0" w:color="auto"/>
                    <w:right w:val="none" w:sz="0" w:space="0" w:color="auto"/>
                  </w:divBdr>
                  <w:divsChild>
                    <w:div w:id="1444769247">
                      <w:marLeft w:val="0"/>
                      <w:marRight w:val="0"/>
                      <w:marTop w:val="630"/>
                      <w:marBottom w:val="0"/>
                      <w:divBdr>
                        <w:top w:val="none" w:sz="0" w:space="0" w:color="auto"/>
                        <w:left w:val="none" w:sz="0" w:space="0" w:color="auto"/>
                        <w:bottom w:val="none" w:sz="0" w:space="0" w:color="auto"/>
                        <w:right w:val="none" w:sz="0" w:space="0" w:color="auto"/>
                      </w:divBdr>
                      <w:divsChild>
                        <w:div w:id="873075735">
                          <w:marLeft w:val="0"/>
                          <w:marRight w:val="0"/>
                          <w:marTop w:val="0"/>
                          <w:marBottom w:val="0"/>
                          <w:divBdr>
                            <w:top w:val="none" w:sz="0" w:space="0" w:color="auto"/>
                            <w:left w:val="none" w:sz="0" w:space="0" w:color="auto"/>
                            <w:bottom w:val="none" w:sz="0" w:space="0" w:color="auto"/>
                            <w:right w:val="none" w:sz="0" w:space="0" w:color="auto"/>
                          </w:divBdr>
                          <w:divsChild>
                            <w:div w:id="1039471675">
                              <w:marLeft w:val="0"/>
                              <w:marRight w:val="150"/>
                              <w:marTop w:val="0"/>
                              <w:marBottom w:val="90"/>
                              <w:divBdr>
                                <w:top w:val="none" w:sz="0" w:space="0" w:color="auto"/>
                                <w:left w:val="none" w:sz="0" w:space="0" w:color="auto"/>
                                <w:bottom w:val="none" w:sz="0" w:space="0" w:color="auto"/>
                                <w:right w:val="none" w:sz="0" w:space="0" w:color="auto"/>
                              </w:divBdr>
                              <w:divsChild>
                                <w:div w:id="4588100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023703">
      <w:bodyDiv w:val="1"/>
      <w:marLeft w:val="0"/>
      <w:marRight w:val="0"/>
      <w:marTop w:val="0"/>
      <w:marBottom w:val="0"/>
      <w:divBdr>
        <w:top w:val="none" w:sz="0" w:space="0" w:color="auto"/>
        <w:left w:val="none" w:sz="0" w:space="0" w:color="auto"/>
        <w:bottom w:val="none" w:sz="0" w:space="0" w:color="auto"/>
        <w:right w:val="none" w:sz="0" w:space="0" w:color="auto"/>
      </w:divBdr>
      <w:divsChild>
        <w:div w:id="1772781072">
          <w:marLeft w:val="0"/>
          <w:marRight w:val="0"/>
          <w:marTop w:val="0"/>
          <w:marBottom w:val="0"/>
          <w:divBdr>
            <w:top w:val="none" w:sz="0" w:space="0" w:color="auto"/>
            <w:left w:val="none" w:sz="0" w:space="0" w:color="auto"/>
            <w:bottom w:val="none" w:sz="0" w:space="0" w:color="auto"/>
            <w:right w:val="none" w:sz="0" w:space="0" w:color="auto"/>
          </w:divBdr>
          <w:divsChild>
            <w:div w:id="986393933">
              <w:marLeft w:val="0"/>
              <w:marRight w:val="0"/>
              <w:marTop w:val="0"/>
              <w:marBottom w:val="0"/>
              <w:divBdr>
                <w:top w:val="none" w:sz="0" w:space="0" w:color="auto"/>
                <w:left w:val="none" w:sz="0" w:space="0" w:color="auto"/>
                <w:bottom w:val="none" w:sz="0" w:space="0" w:color="auto"/>
                <w:right w:val="none" w:sz="0" w:space="0" w:color="auto"/>
              </w:divBdr>
              <w:divsChild>
                <w:div w:id="195314390">
                  <w:marLeft w:val="0"/>
                  <w:marRight w:val="0"/>
                  <w:marTop w:val="0"/>
                  <w:marBottom w:val="0"/>
                  <w:divBdr>
                    <w:top w:val="none" w:sz="0" w:space="0" w:color="auto"/>
                    <w:left w:val="none" w:sz="0" w:space="0" w:color="auto"/>
                    <w:bottom w:val="none" w:sz="0" w:space="0" w:color="auto"/>
                    <w:right w:val="none" w:sz="0" w:space="0" w:color="auto"/>
                  </w:divBdr>
                  <w:divsChild>
                    <w:div w:id="112335210">
                      <w:marLeft w:val="0"/>
                      <w:marRight w:val="0"/>
                      <w:marTop w:val="0"/>
                      <w:marBottom w:val="0"/>
                      <w:divBdr>
                        <w:top w:val="none" w:sz="0" w:space="0" w:color="auto"/>
                        <w:left w:val="none" w:sz="0" w:space="0" w:color="auto"/>
                        <w:bottom w:val="none" w:sz="0" w:space="0" w:color="auto"/>
                        <w:right w:val="none" w:sz="0" w:space="0" w:color="auto"/>
                      </w:divBdr>
                      <w:divsChild>
                        <w:div w:id="1269464156">
                          <w:marLeft w:val="0"/>
                          <w:marRight w:val="0"/>
                          <w:marTop w:val="0"/>
                          <w:marBottom w:val="0"/>
                          <w:divBdr>
                            <w:top w:val="none" w:sz="0" w:space="0" w:color="auto"/>
                            <w:left w:val="none" w:sz="0" w:space="0" w:color="auto"/>
                            <w:bottom w:val="none" w:sz="0" w:space="0" w:color="auto"/>
                            <w:right w:val="none" w:sz="0" w:space="0" w:color="auto"/>
                          </w:divBdr>
                          <w:divsChild>
                            <w:div w:id="106175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120252">
      <w:bodyDiv w:val="1"/>
      <w:marLeft w:val="0"/>
      <w:marRight w:val="0"/>
      <w:marTop w:val="0"/>
      <w:marBottom w:val="0"/>
      <w:divBdr>
        <w:top w:val="none" w:sz="0" w:space="0" w:color="auto"/>
        <w:left w:val="none" w:sz="0" w:space="0" w:color="auto"/>
        <w:bottom w:val="none" w:sz="0" w:space="0" w:color="auto"/>
        <w:right w:val="none" w:sz="0" w:space="0" w:color="auto"/>
      </w:divBdr>
      <w:divsChild>
        <w:div w:id="1001394062">
          <w:marLeft w:val="0"/>
          <w:marRight w:val="0"/>
          <w:marTop w:val="0"/>
          <w:marBottom w:val="0"/>
          <w:divBdr>
            <w:top w:val="single" w:sz="6" w:space="0" w:color="EBEBEB"/>
            <w:left w:val="none" w:sz="0" w:space="0" w:color="auto"/>
            <w:bottom w:val="none" w:sz="0" w:space="0" w:color="auto"/>
            <w:right w:val="none" w:sz="0" w:space="0" w:color="auto"/>
          </w:divBdr>
          <w:divsChild>
            <w:div w:id="1568568620">
              <w:marLeft w:val="0"/>
              <w:marRight w:val="0"/>
              <w:marTop w:val="0"/>
              <w:marBottom w:val="0"/>
              <w:divBdr>
                <w:top w:val="none" w:sz="0" w:space="0" w:color="auto"/>
                <w:left w:val="none" w:sz="0" w:space="0" w:color="auto"/>
                <w:bottom w:val="none" w:sz="0" w:space="0" w:color="auto"/>
                <w:right w:val="none" w:sz="0" w:space="0" w:color="auto"/>
              </w:divBdr>
              <w:divsChild>
                <w:div w:id="1370649377">
                  <w:marLeft w:val="0"/>
                  <w:marRight w:val="0"/>
                  <w:marTop w:val="0"/>
                  <w:marBottom w:val="0"/>
                  <w:divBdr>
                    <w:top w:val="none" w:sz="0" w:space="0" w:color="auto"/>
                    <w:left w:val="none" w:sz="0" w:space="0" w:color="auto"/>
                    <w:bottom w:val="none" w:sz="0" w:space="0" w:color="auto"/>
                    <w:right w:val="none" w:sz="0" w:space="0" w:color="auto"/>
                  </w:divBdr>
                  <w:divsChild>
                    <w:div w:id="1262839630">
                      <w:marLeft w:val="0"/>
                      <w:marRight w:val="0"/>
                      <w:marTop w:val="630"/>
                      <w:marBottom w:val="0"/>
                      <w:divBdr>
                        <w:top w:val="single" w:sz="12" w:space="0" w:color="auto"/>
                        <w:left w:val="none" w:sz="0" w:space="0" w:color="auto"/>
                        <w:bottom w:val="none" w:sz="0" w:space="0" w:color="auto"/>
                        <w:right w:val="none" w:sz="0" w:space="0" w:color="auto"/>
                      </w:divBdr>
                      <w:divsChild>
                        <w:div w:id="536746988">
                          <w:marLeft w:val="0"/>
                          <w:marRight w:val="0"/>
                          <w:marTop w:val="0"/>
                          <w:marBottom w:val="0"/>
                          <w:divBdr>
                            <w:top w:val="none" w:sz="0" w:space="0" w:color="auto"/>
                            <w:left w:val="none" w:sz="0" w:space="0" w:color="auto"/>
                            <w:bottom w:val="none" w:sz="0" w:space="0" w:color="auto"/>
                            <w:right w:val="none" w:sz="0" w:space="0" w:color="auto"/>
                          </w:divBdr>
                          <w:divsChild>
                            <w:div w:id="1119686895">
                              <w:marLeft w:val="0"/>
                              <w:marRight w:val="150"/>
                              <w:marTop w:val="0"/>
                              <w:marBottom w:val="90"/>
                              <w:divBdr>
                                <w:top w:val="none" w:sz="0" w:space="0" w:color="auto"/>
                                <w:left w:val="none" w:sz="0" w:space="0" w:color="auto"/>
                                <w:bottom w:val="none" w:sz="0" w:space="0" w:color="auto"/>
                                <w:right w:val="none" w:sz="0" w:space="0" w:color="auto"/>
                              </w:divBdr>
                              <w:divsChild>
                                <w:div w:id="123778776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6060771">
      <w:bodyDiv w:val="1"/>
      <w:marLeft w:val="0"/>
      <w:marRight w:val="0"/>
      <w:marTop w:val="0"/>
      <w:marBottom w:val="0"/>
      <w:divBdr>
        <w:top w:val="none" w:sz="0" w:space="0" w:color="auto"/>
        <w:left w:val="none" w:sz="0" w:space="0" w:color="auto"/>
        <w:bottom w:val="none" w:sz="0" w:space="0" w:color="auto"/>
        <w:right w:val="none" w:sz="0" w:space="0" w:color="auto"/>
      </w:divBdr>
      <w:divsChild>
        <w:div w:id="1761484504">
          <w:marLeft w:val="0"/>
          <w:marRight w:val="0"/>
          <w:marTop w:val="0"/>
          <w:marBottom w:val="0"/>
          <w:divBdr>
            <w:top w:val="single" w:sz="6" w:space="0" w:color="EBEBEB"/>
            <w:left w:val="none" w:sz="0" w:space="0" w:color="auto"/>
            <w:bottom w:val="none" w:sz="0" w:space="0" w:color="auto"/>
            <w:right w:val="none" w:sz="0" w:space="0" w:color="auto"/>
          </w:divBdr>
          <w:divsChild>
            <w:div w:id="479998188">
              <w:marLeft w:val="0"/>
              <w:marRight w:val="0"/>
              <w:marTop w:val="0"/>
              <w:marBottom w:val="0"/>
              <w:divBdr>
                <w:top w:val="none" w:sz="0" w:space="0" w:color="auto"/>
                <w:left w:val="none" w:sz="0" w:space="0" w:color="auto"/>
                <w:bottom w:val="none" w:sz="0" w:space="0" w:color="auto"/>
                <w:right w:val="none" w:sz="0" w:space="0" w:color="auto"/>
              </w:divBdr>
              <w:divsChild>
                <w:div w:id="470905267">
                  <w:marLeft w:val="0"/>
                  <w:marRight w:val="0"/>
                  <w:marTop w:val="0"/>
                  <w:marBottom w:val="0"/>
                  <w:divBdr>
                    <w:top w:val="none" w:sz="0" w:space="0" w:color="auto"/>
                    <w:left w:val="none" w:sz="0" w:space="0" w:color="auto"/>
                    <w:bottom w:val="none" w:sz="0" w:space="0" w:color="auto"/>
                    <w:right w:val="none" w:sz="0" w:space="0" w:color="auto"/>
                  </w:divBdr>
                  <w:divsChild>
                    <w:div w:id="1019817831">
                      <w:marLeft w:val="0"/>
                      <w:marRight w:val="0"/>
                      <w:marTop w:val="630"/>
                      <w:marBottom w:val="0"/>
                      <w:divBdr>
                        <w:top w:val="none" w:sz="0" w:space="0" w:color="auto"/>
                        <w:left w:val="none" w:sz="0" w:space="0" w:color="auto"/>
                        <w:bottom w:val="none" w:sz="0" w:space="0" w:color="auto"/>
                        <w:right w:val="none" w:sz="0" w:space="0" w:color="auto"/>
                      </w:divBdr>
                      <w:divsChild>
                        <w:div w:id="1966349899">
                          <w:marLeft w:val="0"/>
                          <w:marRight w:val="0"/>
                          <w:marTop w:val="0"/>
                          <w:marBottom w:val="0"/>
                          <w:divBdr>
                            <w:top w:val="none" w:sz="0" w:space="0" w:color="auto"/>
                            <w:left w:val="none" w:sz="0" w:space="0" w:color="auto"/>
                            <w:bottom w:val="none" w:sz="0" w:space="0" w:color="auto"/>
                            <w:right w:val="none" w:sz="0" w:space="0" w:color="auto"/>
                          </w:divBdr>
                          <w:divsChild>
                            <w:div w:id="502552005">
                              <w:marLeft w:val="0"/>
                              <w:marRight w:val="150"/>
                              <w:marTop w:val="0"/>
                              <w:marBottom w:val="90"/>
                              <w:divBdr>
                                <w:top w:val="none" w:sz="0" w:space="0" w:color="auto"/>
                                <w:left w:val="none" w:sz="0" w:space="0" w:color="auto"/>
                                <w:bottom w:val="none" w:sz="0" w:space="0" w:color="auto"/>
                                <w:right w:val="none" w:sz="0" w:space="0" w:color="auto"/>
                              </w:divBdr>
                              <w:divsChild>
                                <w:div w:id="53257598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3F098-D05D-4152-84B0-9C367927D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4359</Words>
  <Characters>22370</Characters>
  <Application>Microsoft Office Word</Application>
  <DocSecurity>0</DocSecurity>
  <Lines>186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agritten</dc:creator>
  <cp:lastModifiedBy>agritten</cp:lastModifiedBy>
  <cp:revision>4</cp:revision>
  <cp:lastPrinted>2016-05-18T11:56:00Z</cp:lastPrinted>
  <dcterms:created xsi:type="dcterms:W3CDTF">2016-08-02T20:57:00Z</dcterms:created>
  <dcterms:modified xsi:type="dcterms:W3CDTF">2016-08-02T21:08:00Z</dcterms:modified>
</cp:coreProperties>
</file>